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Heng Jun Hong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ECARX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ECX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1700 MONTGOMERY STREET, SUITE 240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94111</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20" w:type="dxa"/>
            <w:vAlign w:val="bottom"/>
          </w:tcPr>
          <w:p>
            <w:pPr>
              <w:jc w:val="right"/>
              <w:ind w:right="311"/>
              <w:spacing w:after="0"/>
              <w:rPr>
                <w:sz w:val="20"/>
                <w:szCs w:val="20"/>
                <w:color w:val="auto"/>
              </w:rPr>
            </w:pPr>
            <w:r>
              <w:rPr>
                <w:rFonts w:ascii="Times New Roman" w:cs="Times New Roman" w:eastAsia="Times New Roman" w:hAnsi="Times New Roman"/>
                <w:sz w:val="20"/>
                <w:szCs w:val="20"/>
                <w:color w:val="0000FF"/>
              </w:rPr>
              <w:t>279,564</w:t>
            </w:r>
          </w:p>
        </w:tc>
        <w:tc>
          <w:tcPr>
            <w:tcW w:w="1000" w:type="dxa"/>
            <w:vAlign w:val="bottom"/>
          </w:tcPr>
          <w:p>
            <w:pPr>
              <w:jc w:val="center"/>
              <w:ind w:left="732"/>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1,030,956</w:t>
            </w:r>
          </w:p>
        </w:tc>
        <w:tc>
          <w:tcPr>
            <w:tcW w:w="1000" w:type="dxa"/>
            <w:vAlign w:val="bottom"/>
            <w:tcBorders>
              <w:bottom w:val="single" w:sz="8" w:color="2C2C2C"/>
            </w:tcBorders>
          </w:tcPr>
          <w:p>
            <w:pPr>
              <w:jc w:val="center"/>
              <w:ind w:left="732"/>
              <w:spacing w:after="0"/>
              <w:rPr>
                <w:sz w:val="20"/>
                <w:szCs w:val="20"/>
                <w:color w:val="auto"/>
              </w:rPr>
            </w:pPr>
            <w:r>
              <w:rPr>
                <w:rFonts w:ascii="Times New Roman" w:cs="Times New Roman" w:eastAsia="Times New Roman" w:hAnsi="Times New Roman"/>
                <w:sz w:val="20"/>
                <w:szCs w:val="20"/>
                <w:color w:val="0000FF"/>
                <w:w w:val="89"/>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Absolute Bond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5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5"/>
              </w:rPr>
              <w:t>Warrants, each exercisable for one</w:t>
            </w: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01/19/2023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right"/>
              <w:ind w:right="52"/>
              <w:spacing w:after="0"/>
              <w:rPr>
                <w:sz w:val="20"/>
                <w:szCs w:val="20"/>
                <w:color w:val="auto"/>
              </w:rPr>
            </w:pPr>
            <w:r>
              <w:rPr>
                <w:rFonts w:ascii="Times New Roman" w:cs="Times New Roman" w:eastAsia="Times New Roman" w:hAnsi="Times New Roman"/>
                <w:sz w:val="20"/>
                <w:szCs w:val="20"/>
                <w:color w:val="0000FF"/>
              </w:rPr>
              <w:t>124,028</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11.5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w:t>
            </w:r>
          </w:p>
        </w:tc>
        <w:tc>
          <w:tcPr>
            <w:tcW w:w="12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5"/>
              </w:rPr>
              <w:t>Warrants, each exercisable for one</w:t>
            </w: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01/19/2023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3,797,216</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11.5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Absolute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w:t>
            </w:r>
          </w:p>
        </w:tc>
        <w:tc>
          <w:tcPr>
            <w:tcW w:w="12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Bond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Absolute Bond Limited is managed by Press Room LLC. The reporting person is the manager of Press Room LLC. The reporting person disclaims any ownership of the shares and warrants held by Absolute Bond Limited.</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Jun Hong Heng</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2577" TargetMode="External"/><Relationship Id="rId11" Type="http://schemas.openxmlformats.org/officeDocument/2006/relationships/hyperlink" Target="http://www.sec.gov/cgi-bin/browse-edgar?action=getcompany&amp;CIK=0001861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2026-03-25T05:30:22Z</dcterms:created>
  <dcterms:modified xsi:type="dcterms:W3CDTF">2026-03-25T05:30:22Z</dcterms:modified>
</cp:coreProperties>
</file>