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1140"/>
          </w:cols>
          <w:pgMar w:left="320" w:top="1440" w:right="4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4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99.</w:t>
            </w:r>
            <w:r>
              <w:rPr>
                <w:rFonts w:ascii="Times New Roman" w:cs="Times New Roman" w:eastAsia="Times New Roman" w:hAnsi="Times New Roman"/>
                <w:sz w:val="22"/>
                <w:szCs w:val="22"/>
                <w:u w:val="single" w:color="auto"/>
                <w:color w:val="auto"/>
              </w:rPr>
              <w:t>1</w:t>
            </w:r>
          </w:p>
        </w:tc>
        <w:tc>
          <w:tcPr>
            <w:tcW w:w="1140" w:type="dxa"/>
            <w:vAlign w:val="bottom"/>
          </w:tcPr>
          <w:p>
            <w:pPr>
              <w:spacing w:after="0"/>
              <w:rPr>
                <w:sz w:val="21"/>
                <w:szCs w:val="21"/>
                <w:color w:val="auto"/>
              </w:rPr>
            </w:pPr>
          </w:p>
        </w:tc>
        <w:tc>
          <w:tcPr>
            <w:tcW w:w="894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rPr>
              <w:t>Press Release – ECARX Announces First Quarter 2026 Unaudited Financial Results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Dylan D. Jeng</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Dylan D. Jeng</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0660"/>
          </w:cols>
          <w:pgMar w:left="320" w:top="1440" w:right="91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Announces First Quarter 2026 Unaudited Financial Results</w:t>
      </w:r>
    </w:p>
    <w:p>
      <w:pPr>
        <w:spacing w:after="0" w:line="21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May 19, 2026 </w:t>
      </w:r>
      <w:r>
        <w:rPr>
          <w:rFonts w:ascii="Times New Roman" w:cs="Times New Roman" w:eastAsia="Times New Roman" w:hAnsi="Times New Roman"/>
          <w:sz w:val="18"/>
          <w:szCs w:val="18"/>
          <w:color w:val="auto"/>
        </w:rPr>
        <w:t>— ECARX Holdings Inc. (Nasdaq: ECX) (“ECARX”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1F2329"/>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global automotive intelligence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unaudited financial results for the quarter ended March 31, 2026.</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Ziyu Shen, ECARX CEO, commented, "The first quarter of 2026 was defined by continued disciplined execution and continued global momentum, demonstrating the underlying resilience of our core business. Despite traditional seasonality and a complex macroeconomic environment marked by memory component inflation, our disciplined execution mitigated the modest impact on our topline into meaningful profitability improvements. We successfully expanded our gross margin to 21.4% and nearly halved our operating loss from the same period last year. Perhaps most notably, we achieved our third consecutive quarter of positive adjusted EBITDA at US$4 million. This resilient performance is the direct result of the strategic framework we established late last year where our focus remains firmly on accelerating our globalization strategy, investing in our R&amp;D roadmap, and optimizing our lean operating strategy to sustain profitability. R&amp;D costs were down 32% YoY, driven by continued resource prioritization and the internal deployment of AI across our business to drive innovation while reducing structural costs.</w:t>
      </w:r>
    </w:p>
    <w:p>
      <w:pPr>
        <w:spacing w:after="0" w:line="21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are rapidly accelerating our transformation into a truly global technology leader. To support our expanding commercial footprint and align with global best practices, we have recently actively strengthened our corporate governance and leadership team, separating the roles of Chairperson and CEO and welcoming Lone Fønss Schrøder to lead our Board of Directors, alongside Dylan D. Jeng as our new Chief Financial Officer. With our offices in Singapore now fully operational, and the capital raised late last year actively being deployed, we are well-positioned to execute our expanding pipeline across Europe, the Americas, and Southeast Asia. We remain firmly focused on our target to generate 50% of total revenue from international markets by 2030.</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Commercially and technologically, our momentum continues to build as we capture higher-value opportunities across our technology stack. Deepening our strategic ecosystem of technology partners remains a core priority, a powerful endorsement of our proven full-stack hardware and software capabilities and long-term growth potential. Concurrently, our exploration of a strategic transaction with DreamSmart Technology highlights our ambition to own the critical software application layers of the intelligence-centric vehicle experience. Today we announced a landmark strategic partnership with May Mobility, a leading US autonomous vehicle technology company, to bring ECARX’s intelligent driving capacity to May Mobility’s future autonomous fleet for ride-hail development. We entered 2026 with a clear roadmap, and we are successfully executing against it. Leveraging our strong reputation and proven high-performance computing platforms that power software-defined vehicles, we are uniquely positioned to capitalize on the surging global demand for higher-value software and physical AI across the automotive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US$131.5 million, down 22% year-over-year (“YoY”).</w:t>
      </w:r>
    </w:p>
    <w:p>
      <w:pPr>
        <w:spacing w:after="0" w:line="103" w:lineRule="exact"/>
        <w:rPr>
          <w:rFonts w:ascii="Times New Roman" w:cs="Times New Roman" w:eastAsia="Times New Roman" w:hAnsi="Times New Roman"/>
          <w:sz w:val="18"/>
          <w:szCs w:val="18"/>
          <w:color w:val="auto"/>
        </w:rPr>
      </w:pPr>
    </w:p>
    <w:p>
      <w:pPr>
        <w:ind w:left="1300" w:right="20" w:hanging="320"/>
        <w:spacing w:after="0" w:line="246" w:lineRule="auto"/>
        <w:tabs>
          <w:tab w:leader="none" w:pos="1296" w:val="left"/>
        </w:tabs>
        <w:numPr>
          <w:ilvl w:val="1"/>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Sales of goods revenue </w:t>
      </w:r>
      <w:r>
        <w:rPr>
          <w:rFonts w:ascii="Times New Roman" w:cs="Times New Roman" w:eastAsia="Times New Roman" w:hAnsi="Times New Roman"/>
          <w:sz w:val="18"/>
          <w:szCs w:val="18"/>
          <w:color w:val="auto"/>
        </w:rPr>
        <w:t>was US$113.8 million, down 6% YoY. The decrease was mainly driven by the challenging market 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our deliberate strategic decision in Q2 last year to actively phase out our lower-margin, legacy platform business, which created a high base effect when compared to Q1 2025. On the other hand, the decrease was partially offset by the price adjustment to pass through higher memory cost impact, which increased sales of goods revenue.</w:t>
      </w:r>
    </w:p>
    <w:p>
      <w:pPr>
        <w:spacing w:after="0" w:line="68" w:lineRule="exact"/>
        <w:rPr>
          <w:rFonts w:ascii="Arial" w:cs="Arial" w:eastAsia="Arial" w:hAnsi="Arial"/>
          <w:sz w:val="18"/>
          <w:szCs w:val="18"/>
          <w:color w:val="auto"/>
        </w:rPr>
      </w:pPr>
    </w:p>
    <w:p>
      <w:pPr>
        <w:ind w:left="1300" w:right="160" w:hanging="320"/>
        <w:spacing w:after="0" w:line="271" w:lineRule="auto"/>
        <w:tabs>
          <w:tab w:leader="none" w:pos="129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license revenue </w:t>
      </w:r>
      <w:r>
        <w:rPr>
          <w:rFonts w:ascii="Times New Roman" w:cs="Times New Roman" w:eastAsia="Times New Roman" w:hAnsi="Times New Roman"/>
          <w:sz w:val="18"/>
          <w:szCs w:val="18"/>
          <w:color w:val="auto"/>
        </w:rPr>
        <w:t>was US$1.6 million, down 94% YoY, primarily due to a one-time software license revenue of US$25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in the first quarter last year.</w:t>
      </w:r>
    </w:p>
    <w:p>
      <w:pPr>
        <w:spacing w:after="0" w:line="86" w:lineRule="exact"/>
        <w:rPr>
          <w:rFonts w:ascii="Times New Roman" w:cs="Times New Roman" w:eastAsia="Times New Roman" w:hAnsi="Times New Roman"/>
          <w:sz w:val="18"/>
          <w:szCs w:val="18"/>
          <w:color w:val="auto"/>
        </w:rPr>
      </w:pPr>
    </w:p>
    <w:p>
      <w:pPr>
        <w:ind w:left="1300" w:right="260" w:hanging="320"/>
        <w:spacing w:after="0" w:line="221" w:lineRule="auto"/>
        <w:tabs>
          <w:tab w:leader="none" w:pos="1269" w:val="left"/>
        </w:tabs>
        <w:numPr>
          <w:ilvl w:val="1"/>
          <w:numId w:val="1"/>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Service revenue </w:t>
      </w:r>
      <w:r>
        <w:rPr>
          <w:rFonts w:ascii="Times New Roman" w:cs="Times New Roman" w:eastAsia="Times New Roman" w:hAnsi="Times New Roman"/>
          <w:sz w:val="18"/>
          <w:szCs w:val="18"/>
          <w:color w:val="auto"/>
        </w:rPr>
        <w:t>was US$16.1 million, down 25% YoY. The change primarily reflected the timing of design and development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and booking schedules. As such, it generally tracks the vehicle launch cycle in Q1 2026, which is expected to accelerate in subsequent quarters.</w:t>
      </w:r>
    </w:p>
    <w:p>
      <w:pPr>
        <w:spacing w:after="0" w:line="182" w:lineRule="exact"/>
        <w:rPr>
          <w:rFonts w:ascii="Arial" w:cs="Arial" w:eastAsia="Arial" w:hAnsi="Arial"/>
          <w:sz w:val="22"/>
          <w:szCs w:val="22"/>
          <w:color w:val="auto"/>
        </w:rPr>
      </w:pPr>
    </w:p>
    <w:p>
      <w:pPr>
        <w:ind w:left="660" w:right="56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cost of revenue </w:t>
      </w:r>
      <w:r>
        <w:rPr>
          <w:rFonts w:ascii="Times New Roman" w:cs="Times New Roman" w:eastAsia="Times New Roman" w:hAnsi="Times New Roman"/>
          <w:sz w:val="18"/>
          <w:szCs w:val="18"/>
          <w:color w:val="auto"/>
        </w:rPr>
        <w:t>was US$103.3 million, down 23% YoY, primarily driven by a decrease in the sales volume of automotive computing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products, as well as in the software license revenue.</w:t>
      </w:r>
    </w:p>
    <w:p>
      <w:pPr>
        <w:spacing w:after="0" w:line="168" w:lineRule="exact"/>
        <w:rPr>
          <w:rFonts w:ascii="Times New Roman" w:cs="Times New Roman" w:eastAsia="Times New Roman" w:hAnsi="Times New Roman"/>
          <w:sz w:val="18"/>
          <w:szCs w:val="18"/>
          <w:color w:val="auto"/>
        </w:rPr>
      </w:pPr>
    </w:p>
    <w:p>
      <w:pPr>
        <w:ind w:left="660" w:right="140" w:hanging="328"/>
        <w:spacing w:after="0" w:line="270"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US$28.2 million, down 15% YoY, resulting in the gross margin of 21.4%. The decrease in gross profit was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declined sales of goods volume and one-time software licensing revenue. On the</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20" w:top="1143"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color w:val="auto"/>
        </w:rPr>
        <w:t>other hand, gross margin percentage increased from 19.8% to 21.4% YoY due to the price adjustment as well as product mix optimization.</w:t>
      </w:r>
    </w:p>
    <w:p>
      <w:pPr>
        <w:spacing w:after="0" w:line="221" w:lineRule="exact"/>
        <w:rPr>
          <w:sz w:val="20"/>
          <w:szCs w:val="20"/>
          <w:color w:val="auto"/>
        </w:rPr>
      </w:pPr>
    </w:p>
    <w:p>
      <w:pPr>
        <w:ind w:left="660" w:right="160" w:hanging="328"/>
        <w:spacing w:after="0" w:line="244"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US$23.5 million, down 32% YoY, primarily driven by the continued resource prioritization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enhanced operational efficiencies and synergies from R&amp;D integration and the internal deployment of AI across our business to drive innovation while reducing structural costs.</w:t>
      </w:r>
    </w:p>
    <w:p>
      <w:pPr>
        <w:spacing w:after="0" w:line="191" w:lineRule="exact"/>
        <w:rPr>
          <w:rFonts w:ascii="Arial" w:cs="Arial" w:eastAsia="Arial" w:hAnsi="Arial"/>
          <w:sz w:val="18"/>
          <w:szCs w:val="18"/>
          <w:color w:val="auto"/>
        </w:rPr>
      </w:pPr>
    </w:p>
    <w:p>
      <w:pPr>
        <w:ind w:left="660" w:right="64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and others, net </w:t>
      </w:r>
      <w:r>
        <w:rPr>
          <w:rFonts w:ascii="Times New Roman" w:cs="Times New Roman" w:eastAsia="Times New Roman" w:hAnsi="Times New Roman"/>
          <w:sz w:val="18"/>
          <w:szCs w:val="18"/>
          <w:color w:val="auto"/>
        </w:rPr>
        <w:t>were US$17.7 million, down 24% YoY, primarily driven by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in global operating efficiencies and lower share-based compensation expenses incurred during the quarter.</w:t>
      </w:r>
    </w:p>
    <w:p>
      <w:pPr>
        <w:spacing w:after="0" w:line="167"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US$11.0 million, compared with US$27.2 million during the same period last year. The improvement was primarily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reduction in total operating expenses as well as the gain from sale of a portion of an equity method investment during the quarter, partially offset by the decline in gross profit, and an increase in interest expense compared to the same period last year.</w:t>
      </w:r>
    </w:p>
    <w:p>
      <w:pPr>
        <w:spacing w:after="0" w:line="170"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(non-GAAP) gain was US$4.0 million, compared with adjusted EBITDA (non-GAAP) loss of US$14.5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last year. See “Non-GAAP Financial Measure.”</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cash </w:t>
      </w:r>
      <w:r>
        <w:rPr>
          <w:rFonts w:ascii="Times New Roman" w:cs="Times New Roman" w:eastAsia="Times New Roman" w:hAnsi="Times New Roman"/>
          <w:sz w:val="18"/>
          <w:szCs w:val="18"/>
          <w:color w:val="auto"/>
        </w:rPr>
        <w:t>as of March 31, 2026 was US$70.1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Looking ahead</w:t>
      </w:r>
      <w:r>
        <w:rPr>
          <w:rFonts w:ascii="Times New Roman" w:cs="Times New Roman" w:eastAsia="Times New Roman" w:hAnsi="Times New Roman"/>
          <w:sz w:val="18"/>
          <w:szCs w:val="18"/>
          <w:color w:val="auto"/>
        </w:rPr>
        <w:t>, our visibility into the remainder of the year gives us the confidence around our strategic trajectory:</w:t>
      </w:r>
    </w:p>
    <w:p>
      <w:pPr>
        <w:spacing w:after="0" w:line="242"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29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current backlog and accelerating commercial pipeline, we are reiterating our full-year 2026 guidance of US$1.0-US$1.1 billion in total revenue.</w:t>
      </w:r>
    </w:p>
    <w:p>
      <w:pPr>
        <w:spacing w:after="0" w:line="202" w:lineRule="exact"/>
        <w:rPr>
          <w:rFonts w:ascii="Times New Roman" w:cs="Times New Roman" w:eastAsia="Times New Roman" w:hAnsi="Times New Roman"/>
          <w:sz w:val="18"/>
          <w:szCs w:val="18"/>
          <w:color w:val="auto"/>
        </w:rPr>
      </w:pPr>
    </w:p>
    <w:p>
      <w:pPr>
        <w:ind w:left="1300" w:right="400" w:hanging="320"/>
        <w:spacing w:after="0" w:line="266" w:lineRule="auto"/>
        <w:tabs>
          <w:tab w:leader="none" w:pos="129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margin profile will naturally be influenced by the ongoing dynamics and uncertainty around global memory costs, as well as the cadence of our strategic investments. We do expect that in the coming quarters, gross margin and operating profitability will be negatively impacted by memory cost dynamics.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 Highlights and Updates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Strengthening Corporate Governance and Leadership Team</w:t>
      </w:r>
    </w:p>
    <w:p>
      <w:pPr>
        <w:spacing w:after="0" w:line="63" w:lineRule="exact"/>
        <w:rPr>
          <w:sz w:val="20"/>
          <w:szCs w:val="20"/>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Lone Fønss Schrøder as Chairperson of the board of directors, separating the roles of Chairperson and CEO to strengthen governance and align with global best practices, alongside new Chief Financial Officer Dylan D. Jeng, who will drive financial discipline from the newly operationalized Singapore office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Expanding Global Footprint and Automaker Partnerships</w:t>
      </w:r>
    </w:p>
    <w:p>
      <w:pPr>
        <w:spacing w:after="0" w:line="6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11 million vehicles on the road globally with ECARX technologies as of March 31, 2026</w:t>
      </w:r>
    </w:p>
    <w:p>
      <w:pPr>
        <w:spacing w:after="0" w:line="27" w:lineRule="exact"/>
        <w:rPr>
          <w:rFonts w:ascii="Times New Roman" w:cs="Times New Roman" w:eastAsia="Times New Roman" w:hAnsi="Times New Roman"/>
          <w:sz w:val="18"/>
          <w:szCs w:val="18"/>
          <w:color w:val="auto"/>
        </w:rPr>
      </w:pPr>
    </w:p>
    <w:p>
      <w:pPr>
        <w:jc w:val="both"/>
        <w:ind w:left="660" w:right="22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 announced that we will partner with May Mobility, a leading US autonomous vehicle technology company, to bring ECARX’s intelligent driving capacity to May Mobility’s future autonomous fleet for scaling ride-hail development, expanding ECARX’s addressable market into the autonomous ride-hailing market</w:t>
      </w:r>
    </w:p>
    <w:p>
      <w:pPr>
        <w:spacing w:after="0" w:line="2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 Volkswagen Group partnership into the industrialization phase remaining firmly on track ahead of the anticipated 2027 launch for the Latin American market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new contract win with a leading Chinese automaker outside the Geely ecosystem with mass-production expected to start in later 2026</w:t>
      </w:r>
    </w:p>
    <w:p>
      <w:pPr>
        <w:spacing w:after="0" w:line="49" w:lineRule="exact"/>
        <w:rPr>
          <w:rFonts w:ascii="Times New Roman" w:cs="Times New Roman" w:eastAsia="Times New Roman" w:hAnsi="Times New Roman"/>
          <w:sz w:val="18"/>
          <w:szCs w:val="18"/>
          <w:color w:val="auto"/>
        </w:rPr>
      </w:pPr>
    </w:p>
    <w:p>
      <w:pPr>
        <w:ind w:left="660" w:right="38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Actively deploying the nearly $200 million in capital raised in late 2025 and early 2026 to scale global operational infrastructure across South America and Singapore and build a dedicated R&amp;D hub in Germany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Deepening Innovation-Driven R&amp;D Ecosystem</w:t>
      </w:r>
    </w:p>
    <w:p>
      <w:pPr>
        <w:spacing w:after="0" w:line="63" w:lineRule="exact"/>
        <w:rPr>
          <w:sz w:val="20"/>
          <w:szCs w:val="20"/>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preliminary plan to potentially acquire a minority stake and select intellectual property from DreamSmart Technology to directly integrate the critical FlyMe Auto application layer</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20" w:top="918" w:right="339" w:bottom="1440" w:gutter="0" w:footer="0" w:header="0"/>
        </w:sectPr>
      </w:pPr>
    </w:p>
    <w:bookmarkStart w:id="6" w:name="page7"/>
    <w:bookmarkEnd w:id="6"/>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 $14 million financial gain from divesting a minority portion of shares in SiEngine to a third-party investor to monetize foundational technology while maintaining deep technological integration as its largest shareholder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Technological Advancements and Product Launches</w:t>
      </w:r>
    </w:p>
    <w:p>
      <w:pPr>
        <w:spacing w:after="0" w:line="63" w:lineRule="exact"/>
        <w:rPr>
          <w:sz w:val="20"/>
          <w:szCs w:val="20"/>
          <w:color w:val="auto"/>
        </w:rPr>
      </w:pPr>
    </w:p>
    <w:p>
      <w:pPr>
        <w:ind w:left="660" w:right="8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Shipped over 360,000 units during the quarter, with shipments of high-end Pikes® and Antora® solutions increasing by approximately 73% year-over-year</w:t>
      </w:r>
    </w:p>
    <w:p>
      <w:pPr>
        <w:spacing w:after="0" w:line="1" w:lineRule="exact"/>
        <w:rPr>
          <w:rFonts w:ascii="Times New Roman" w:cs="Times New Roman" w:eastAsia="Times New Roman" w:hAnsi="Times New Roman"/>
          <w:sz w:val="18"/>
          <w:szCs w:val="18"/>
          <w:color w:val="auto"/>
        </w:rPr>
      </w:pPr>
    </w:p>
    <w:p>
      <w:pPr>
        <w:ind w:left="660" w:right="8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mass production for four new vehicle models across three brands deploying Pikes® and Antora® solutions combined with the Cloudpeak® cross-domain software stack and Flyme Auto</w:t>
      </w:r>
    </w:p>
    <w:p>
      <w:pPr>
        <w:spacing w:after="0" w:line="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Debuted the Zenith computing platform at CES powered by the Snapdragon Elite Automotive Platform from Qualcomm Technologies, delivering a highly integrated cabin-to-ADAS system targeted for mass production in 2027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ECARX will host a webcast of its earnings conference call today, Tuesday, May 19, 2026, at 8:00 a.m. EST. To access the webcast, visit the News and Events section of the ECARX Investor Relations website, or visit the following link – https://edge.media-server.com/mmc/p/st42j89f.</w:t>
      </w:r>
    </w:p>
    <w:p>
      <w:pPr>
        <w:spacing w:after="0" w:line="203" w:lineRule="exact"/>
        <w:rPr>
          <w:sz w:val="20"/>
          <w:szCs w:val="20"/>
          <w:color w:val="auto"/>
        </w:rPr>
      </w:pPr>
    </w:p>
    <w:p>
      <w:pPr>
        <w:ind w:right="4200"/>
        <w:spacing w:after="0" w:line="296" w:lineRule="auto"/>
        <w:rPr>
          <w:sz w:val="20"/>
          <w:szCs w:val="20"/>
          <w:color w:val="auto"/>
        </w:rPr>
      </w:pPr>
      <w:r>
        <w:rPr>
          <w:rFonts w:ascii="Times New Roman" w:cs="Times New Roman" w:eastAsia="Times New Roman" w:hAnsi="Times New Roman"/>
          <w:sz w:val="17"/>
          <w:szCs w:val="17"/>
          <w:color w:val="auto"/>
        </w:rPr>
        <w:t>To join the earnings call by telephone, participants must preregister at https://register-conf.media-server.com/register/BI3f07448d8f004da7a74454e66175399f to receive dial-in information.</w:t>
      </w:r>
    </w:p>
    <w:p>
      <w:pPr>
        <w:spacing w:after="0" w:line="179" w:lineRule="exact"/>
        <w:rPr>
          <w:sz w:val="20"/>
          <w:szCs w:val="20"/>
          <w:color w:val="auto"/>
        </w:rPr>
      </w:pPr>
    </w:p>
    <w:p>
      <w:pPr>
        <w:ind w:right="2320"/>
        <w:spacing w:after="0" w:line="282" w:lineRule="auto"/>
        <w:rPr>
          <w:sz w:val="20"/>
          <w:szCs w:val="20"/>
          <w:color w:val="auto"/>
        </w:rPr>
      </w:pPr>
      <w:r>
        <w:rPr>
          <w:rFonts w:ascii="Times New Roman" w:cs="Times New Roman" w:eastAsia="Times New Roman" w:hAnsi="Times New Roman"/>
          <w:sz w:val="18"/>
          <w:szCs w:val="18"/>
          <w:color w:val="auto"/>
        </w:rPr>
        <w:t>A replay of the webcast and presentation materials will be available on the Company’s Investor Relations website under the results and reports section following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ECARX</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090909"/>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090909"/>
        </w:rPr>
        <w:t>As automakers transition to software-first and AI-first vehicle architectures, ECARX empowers automakers to streamline integration, reduce systemic complexity and optimize long-term cost efficiency. ECARX’s proven technology is deployed across over 11 million vehicles worldwide, and is currently partnered with 18 global automakers and 28 vehicle brands to shape the future of automotive intelligence.</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090909"/>
        </w:rPr>
        <w:t>Founded in 2017 and listed on Nasdaq in 2022, ECARX operates from 13 major international locations across Europe, the Americas and Asia, with a global team of over 1,400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40"/>
          </w:cols>
          <w:pgMar w:left="320" w:top="985" w:right="33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adjusted EBITDA (non-GAAP) in evaluating its operating results and for financial and operational decision-making purposes. Adjusted EBITDA is defined as net loss excluding interest income, interest expense, income tax expense, depreciation of property and equipment, amortization of intangible assets, and share-based compensation expenses.</w:t>
      </w:r>
    </w:p>
    <w:p>
      <w:pPr>
        <w:spacing w:after="0" w:line="20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presents this non-GAAP financial measure because it is used by the management to evaluate the Company’s operating performance and formulate business plans. The Company believes that the non-GAAP measure helps identify underlying trends in its business that could otherwise be distorted by the effects of certain expenses that are included in net loss. The Company also believes that the use of the non-GAAP measure facilitates investors’ assessment of its operating performance.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(non-GAAP) should not be considered in isolation or construed as alternatives to net loss or any other measures of performance or as indicators of the Company’s operating performance. Investors are encouraged to compare the Company’s historical adjusted EBITDA (non-GAAP) to the most directly comparable GAAP measure, net loss. Adjusted EBITDA (non-GAAP)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financial information in its entirety and not rely on a single financial measure.</w:t>
      </w: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ir@ecarxgroup.com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ecarx@christensencomms.com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40"/>
          </w:cols>
          <w:pgMar w:left="320" w:top="931" w:right="339" w:bottom="1440" w:gutter="0" w:footer="0" w:header="0"/>
        </w:sectPr>
      </w:pPr>
    </w:p>
    <w:bookmarkStart w:id="8" w:name="page9"/>
    <w:bookmarkEnd w:id="8"/>
    <w:p>
      <w:pPr>
        <w:jc w:val="center"/>
        <w:ind w:right="660"/>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3"/>
        </w:trPr>
        <w:tc>
          <w:tcPr>
            <w:tcW w:w="68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otherwise noted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third parties,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related parties, net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483.2</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527.8</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 third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 related parties</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179.3</w:t>
            </w:r>
          </w:p>
        </w:tc>
        <w:tc>
          <w:tcPr>
            <w:tcW w:w="22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193.1</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662.5</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third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 third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 related parties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payable-current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823.0</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818.7</w:t>
            </w:r>
          </w:p>
        </w:tc>
      </w:tr>
      <w:tr>
        <w:trPr>
          <w:trHeight w:val="236"/>
        </w:trPr>
        <w:tc>
          <w:tcPr>
            <w:tcW w:w="68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payable, non-current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 third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580"/>
          </w:cols>
          <w:pgMar w:left="980" w:top="121" w:right="339" w:bottom="1440" w:gutter="0" w:footer="0" w:header="0"/>
        </w:sectPr>
      </w:pPr>
    </w:p>
    <w:bookmarkStart w:id="9" w:name="page10"/>
    <w:bookmarkEnd w:id="9"/>
    <w:p>
      <w:pPr>
        <w:jc w:val="center"/>
        <w:ind w:right="660"/>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Unaudited Condensed Consolidated Balance Sheets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3"/>
        </w:trPr>
        <w:tc>
          <w:tcPr>
            <w:tcW w:w="68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otherwise noted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 at cost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deficit attributable to ordinary shareholders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2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(283.4)</w:t>
            </w:r>
          </w:p>
        </w:tc>
        <w:tc>
          <w:tcPr>
            <w:tcW w:w="2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662.5</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r>
      <w:tr>
        <w:trPr>
          <w:trHeight w:val="20"/>
        </w:trPr>
        <w:tc>
          <w:tcPr>
            <w:tcW w:w="6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580"/>
          </w:cols>
          <w:pgMar w:left="980" w:top="121" w:right="339" w:bottom="1440" w:gutter="0" w:footer="0" w:header="0"/>
        </w:sectPr>
      </w:pPr>
    </w:p>
    <w:bookmarkStart w:id="10" w:name="page11"/>
    <w:bookmarkEnd w:id="10"/>
    <w:p>
      <w:pPr>
        <w:jc w:val="center"/>
        <w:ind w:right="660"/>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w:t>
      </w:r>
    </w:p>
    <w:p>
      <w:pPr>
        <w:spacing w:after="0" w:line="398"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share data and per share data, or otherwise noted</w:t>
            </w: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goods revenue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 revenue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and others, net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results of equity method investments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(losses)/gains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ECARX Holdings Inc. ordinary shareholders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of available-for-sale debt investment, net of nil income taxes</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 net of nil income taxes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ECARX Holdings Inc.</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Basic loss per share, ordinary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Diluted loss per share, ordinary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0" w:type="dxa"/>
            <w:vAlign w:val="bottom"/>
          </w:tcPr>
          <w:p>
            <w:pPr>
              <w:spacing w:after="0"/>
              <w:rPr>
                <w:sz w:val="1"/>
                <w:szCs w:val="1"/>
                <w:color w:val="auto"/>
              </w:rPr>
            </w:pPr>
          </w:p>
        </w:tc>
      </w:tr>
      <w:tr>
        <w:trPr>
          <w:trHeight w:val="200"/>
        </w:trPr>
        <w:tc>
          <w:tcPr>
            <w:tcW w:w="66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loss per ordinary</w:t>
            </w: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Weighted average number of ordinary shares - Basic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332,595,882</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364,129,447</w:t>
            </w:r>
          </w:p>
        </w:tc>
        <w:tc>
          <w:tcPr>
            <w:tcW w:w="0" w:type="dxa"/>
            <w:vAlign w:val="bottom"/>
          </w:tcPr>
          <w:p>
            <w:pPr>
              <w:spacing w:after="0"/>
              <w:rPr>
                <w:sz w:val="1"/>
                <w:szCs w:val="1"/>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Weighted average number of ordinary shares - Diluted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332,595,882</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364,129,447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580"/>
          </w:cols>
          <w:pgMar w:left="980" w:top="121" w:right="339" w:bottom="1440" w:gutter="0" w:footer="0" w:header="0"/>
        </w:sectPr>
      </w:pPr>
    </w:p>
    <w:bookmarkStart w:id="11" w:name="page12"/>
    <w:bookmarkEnd w:id="11"/>
    <w:p>
      <w:pPr>
        <w:jc w:val="center"/>
        <w:ind w:right="400"/>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Unaudited Reconciliation of GAAP and Non-GAAP Results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use adjusted EBITDA in evaluating our operating results and for financial and operational decision-making purposes. Adjusted EBITDA is defined as net loss excluding interest income, interest expense, income tax expense, depreciation of property and equipment, amortization of intangible assets, and share-based compensation expenses.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in isolation or construed as alternatives to net loss or any other measures of performance or as indicators of our operating performance. Investors are encouraged to compare our historical adjusted EBITDA to the most directly comparable GAAP measure, net loss.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1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68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otherwise noted</w:t>
            </w:r>
          </w:p>
        </w:tc>
        <w:tc>
          <w:tcPr>
            <w:tcW w:w="9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8/8</w:t>
      </w:r>
    </w:p>
    <w:sectPr>
      <w:pgSz w:w="11900" w:h="16838" w:orient="portrait"/>
      <w:cols w:equalWidth="0" w:num="1">
        <w:col w:w="10820"/>
      </w:cols>
      <w:pgMar w:left="74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2026-05-19T06:02:53Z</dcterms:created>
  <dcterms:modified xsi:type="dcterms:W3CDTF">2026-05-19T06:02:53Z</dcterms:modified>
</cp:coreProperties>
</file>