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20-F</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0" w:right="2920" w:hanging="334"/>
        <w:spacing w:after="0" w:line="265" w:lineRule="auto"/>
        <w:tabs>
          <w:tab w:leader="none" w:pos="36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 For the fiscal year ended December 31, 2025</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0" w:right="2600" w:hanging="334"/>
        <w:spacing w:after="0" w:line="265" w:lineRule="auto"/>
        <w:tabs>
          <w:tab w:leader="none" w:pos="360" w:val="left"/>
        </w:tabs>
        <w:numPr>
          <w:ilvl w:val="0"/>
          <w:numId w:val="3"/>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 For the transition period from __________to__________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0" w:right="2240" w:hanging="334"/>
        <w:spacing w:after="0" w:line="283" w:lineRule="auto"/>
        <w:tabs>
          <w:tab w:leader="none" w:pos="360" w:val="left"/>
        </w:tabs>
        <w:numPr>
          <w:ilvl w:val="0"/>
          <w:numId w:val="4"/>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 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001-41576</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ECARX Holdings Inc.</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Cayman Islands</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Floor North, International House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 St. Katharine's Way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London E1W 1UN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Ziyu Shen, Chief Executive Officer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Telephone: </w:t>
      </w:r>
      <w:r>
        <w:rPr>
          <w:rFonts w:ascii="Times New Roman" w:cs="Times New Roman" w:eastAsia="Times New Roman" w:hAnsi="Times New Roman"/>
          <w:sz w:val="21"/>
          <w:szCs w:val="21"/>
          <w:b w:val="1"/>
          <w:bCs w:val="1"/>
          <w:color w:val="auto"/>
        </w:rPr>
        <w:t>+44 20 3011 0334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Email: </w:t>
      </w:r>
      <w:r>
        <w:rPr>
          <w:rFonts w:ascii="Times New Roman" w:cs="Times New Roman" w:eastAsia="Times New Roman" w:hAnsi="Times New Roman"/>
          <w:sz w:val="21"/>
          <w:szCs w:val="21"/>
          <w:b w:val="1"/>
          <w:bCs w:val="1"/>
          <w:color w:val="auto"/>
        </w:rPr>
        <w:t>ziyu.shen@ecarxgroup.com</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Floor North, International House</w:t>
      </w:r>
    </w:p>
    <w:p>
      <w:pPr>
        <w:jc w:val="center"/>
        <w:spacing w:after="0"/>
        <w:rPr>
          <w:sz w:val="20"/>
          <w:szCs w:val="20"/>
          <w:color w:val="auto"/>
        </w:rPr>
      </w:pPr>
      <w:r>
        <w:rPr>
          <w:rFonts w:ascii="Times New Roman" w:cs="Times New Roman" w:eastAsia="Times New Roman" w:hAnsi="Times New Roman"/>
          <w:sz w:val="20"/>
          <w:szCs w:val="20"/>
          <w:b w:val="1"/>
          <w:bCs w:val="1"/>
          <w:color w:val="auto"/>
        </w:rPr>
        <w:t>1 St. Katharine's Way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London E1W 1UN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35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 (b)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10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 A ordinary shares, par value $0.000005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ECX</w:t>
            </w: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43"/>
        </w:trPr>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ECXWW</w:t>
            </w: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 (g) of the Act: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 (d) of the Act:</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10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7" w:lineRule="exact"/>
        <w:rPr>
          <w:sz w:val="24"/>
          <w:szCs w:val="24"/>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310,505,777 Class A ordinary shares and 45,960,916 Class B ordinary shares, par value US$0.000005 per share, as of December 31, 2025.</w:t>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59" w:lineRule="exact"/>
        <w:rPr>
          <w:sz w:val="24"/>
          <w:szCs w:val="24"/>
          <w:color w:val="auto"/>
        </w:rPr>
      </w:pPr>
    </w:p>
    <w:p>
      <w:pPr>
        <w:jc w:val="right"/>
        <w:spacing w:after="0"/>
        <w:tabs>
          <w:tab w:leader="none" w:pos="38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ectPr>
          <w:pgSz w:w="11900" w:h="16838" w:orient="portrait"/>
          <w:cols w:equalWidth="0" w:num="1">
            <w:col w:w="11240"/>
          </w:cols>
          <w:pgMar w:left="320" w:top="229" w:right="339" w:bottom="0" w:gutter="0" w:footer="0" w:header="0"/>
        </w:sectPr>
      </w:pPr>
    </w:p>
    <w:bookmarkStart w:id="1" w:name="page2"/>
    <w:bookmarkEnd w:id="1"/>
    <w:p>
      <w:pPr>
        <w:ind w:right="20"/>
        <w:spacing w:after="0" w:line="280"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6" w:lineRule="exact"/>
        <w:rPr>
          <w:sz w:val="20"/>
          <w:szCs w:val="20"/>
          <w:color w:val="auto"/>
        </w:rPr>
      </w:pPr>
    </w:p>
    <w:p>
      <w:pPr>
        <w:ind w:left="10200"/>
        <w:spacing w:after="0"/>
        <w:tabs>
          <w:tab w:leader="none" w:pos="1082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pacing w:after="0" w:line="59"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28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6" w:lineRule="exact"/>
        <w:rPr>
          <w:sz w:val="20"/>
          <w:szCs w:val="20"/>
          <w:color w:val="auto"/>
        </w:rPr>
      </w:pPr>
    </w:p>
    <w:p>
      <w:pPr>
        <w:ind w:left="10200"/>
        <w:spacing w:after="0"/>
        <w:tabs>
          <w:tab w:leader="none" w:pos="10840" w:val="left"/>
        </w:tabs>
        <w:rPr>
          <w:sz w:val="20"/>
          <w:szCs w:val="20"/>
          <w:color w:val="auto"/>
        </w:rPr>
      </w:pP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No</w:t>
      </w:r>
    </w:p>
    <w:p>
      <w:pPr>
        <w:spacing w:after="0" w:line="59"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200"/>
        <w:spacing w:after="0"/>
        <w:tabs>
          <w:tab w:leader="none" w:pos="10840" w:val="left"/>
        </w:tabs>
        <w:rPr>
          <w:sz w:val="20"/>
          <w:szCs w:val="20"/>
          <w:color w:val="auto"/>
        </w:rPr>
      </w:pP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No</w:t>
      </w:r>
    </w:p>
    <w:p>
      <w:pPr>
        <w:spacing w:after="0" w:line="5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126"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11" w:lineRule="exact"/>
        <w:rPr>
          <w:sz w:val="20"/>
          <w:szCs w:val="20"/>
          <w:color w:val="auto"/>
        </w:rPr>
      </w:pPr>
    </w:p>
    <w:p>
      <w:pPr>
        <w:sectPr>
          <w:pgSz w:w="11900" w:h="16838" w:orient="portrait"/>
          <w:cols w:equalWidth="0" w:num="6">
            <w:col w:w="1900" w:space="720"/>
            <w:col w:w="140" w:space="320"/>
            <w:col w:w="1880" w:space="720"/>
            <w:col w:w="1220" w:space="720"/>
            <w:col w:w="2460" w:space="720"/>
            <w:col w:w="440"/>
          </w:cols>
          <w:pgMar w:left="320" w:top="126" w:right="339" w:bottom="1440" w:gutter="0" w:footer="0" w:header="0"/>
          <w:type w:val="continuous"/>
        </w:sectPr>
      </w:pPr>
    </w:p>
    <w:p>
      <w:pPr>
        <w:spacing w:after="0" w:line="11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170" w:lineRule="exact"/>
        <w:rPr>
          <w:sz w:val="20"/>
          <w:szCs w:val="20"/>
          <w:color w:val="auto"/>
        </w:rPr>
      </w:pPr>
    </w:p>
    <w:p>
      <w:pPr>
        <w:sectPr>
          <w:pgSz w:w="11900" w:h="16838" w:orient="portrait"/>
          <w:cols w:equalWidth="0" w:num="2">
            <w:col w:w="10080" w:space="720"/>
            <w:col w:w="440"/>
          </w:cols>
          <w:pgMar w:left="320" w:top="126" w:right="339" w:bottom="1440" w:gutter="0" w:footer="0" w:header="0"/>
          <w:type w:val="continuous"/>
        </w:sectPr>
      </w:pPr>
    </w:p>
    <w:p>
      <w:pPr>
        <w:ind w:right="420"/>
        <w:spacing w:after="0" w:line="230"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Wingdings" w:cs="Wingdings" w:eastAsia="Wingdings" w:hAnsi="Wingdings"/>
          <w:sz w:val="16"/>
          <w:szCs w:val="16"/>
          <w:b w:val="1"/>
          <w:bCs w:val="1"/>
          <w:color w:val="auto"/>
        </w:rPr>
        <w: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41" w:lineRule="exact"/>
        <w:rPr>
          <w:sz w:val="20"/>
          <w:szCs w:val="20"/>
          <w:color w:val="auto"/>
        </w:rPr>
      </w:pPr>
    </w:p>
    <w:p>
      <w:pPr>
        <w:ind w:left="340" w:right="520" w:hanging="8"/>
        <w:spacing w:after="0" w:line="280" w:lineRule="auto"/>
        <w:tabs>
          <w:tab w:leader="none" w:pos="4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7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57"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43" w:lineRule="exact"/>
        <w:rPr>
          <w:sz w:val="20"/>
          <w:szCs w:val="20"/>
          <w:color w:val="auto"/>
        </w:rPr>
      </w:pPr>
    </w:p>
    <w:p>
      <w:pPr>
        <w:ind w:right="320"/>
        <w:spacing w:after="0" w:line="325"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Wingdings" w:cs="Wingdings" w:eastAsia="Wingdings" w:hAnsi="Wingdings"/>
          <w:sz w:val="16"/>
          <w:szCs w:val="16"/>
          <w:b w:val="1"/>
          <w:bCs w:val="1"/>
          <w:color w:val="auto"/>
        </w:rPr>
        <w:t>o</w:t>
      </w: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167" w:lineRule="exact"/>
        <w:rPr>
          <w:sz w:val="20"/>
          <w:szCs w:val="20"/>
          <w:color w:val="auto"/>
        </w:rPr>
      </w:pPr>
    </w:p>
    <w:p>
      <w:pPr>
        <w:ind w:left="500"/>
        <w:spacing w:after="0"/>
        <w:tabs>
          <w:tab w:leader="none" w:pos="4080" w:val="left"/>
          <w:tab w:leader="none" w:pos="9840" w:val="left"/>
        </w:tabs>
        <w:rPr>
          <w:sz w:val="20"/>
          <w:szCs w:val="20"/>
          <w:color w:val="auto"/>
        </w:rPr>
      </w:pPr>
      <w:r>
        <w:rPr>
          <w:rFonts w:ascii="Times New Roman" w:cs="Times New Roman" w:eastAsia="Times New Roman" w:hAnsi="Times New Roman"/>
          <w:sz w:val="16"/>
          <w:szCs w:val="16"/>
          <w:color w:val="auto"/>
        </w:rPr>
        <w:t xml:space="preserve">U.S. GAAP </w:t>
      </w: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6"/>
          <w:szCs w:val="16"/>
          <w:color w:val="auto"/>
        </w:rPr>
        <w:t>International Financial Reporting Standards</w:t>
      </w:r>
      <w:r>
        <w:rPr>
          <w:sz w:val="20"/>
          <w:szCs w:val="20"/>
          <w:color w:val="auto"/>
        </w:rPr>
        <w:tab/>
      </w:r>
      <w:r>
        <w:rPr>
          <w:rFonts w:ascii="Times New Roman" w:cs="Times New Roman" w:eastAsia="Times New Roman" w:hAnsi="Times New Roman"/>
          <w:sz w:val="16"/>
          <w:szCs w:val="16"/>
          <w:color w:val="auto"/>
        </w:rPr>
        <w:t xml:space="preserve">Other </w:t>
      </w:r>
      <w:r>
        <w:rPr>
          <w:rFonts w:ascii="Wingdings" w:cs="Wingdings" w:eastAsia="Wingdings" w:hAnsi="Wingdings"/>
          <w:sz w:val="16"/>
          <w:szCs w:val="16"/>
          <w:b w:val="1"/>
          <w:bCs w:val="1"/>
          <w:color w:val="auto"/>
        </w:rPr>
        <w:t>o</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 xml:space="preserve">as issued by the International Accounting Standards Board </w:t>
      </w:r>
      <w:r>
        <w:rPr>
          <w:rFonts w:ascii="Wingdings" w:cs="Wingdings" w:eastAsia="Wingdings" w:hAnsi="Wingdings"/>
          <w:sz w:val="16"/>
          <w:szCs w:val="16"/>
          <w:b w:val="1"/>
          <w:bCs w:val="1"/>
          <w:color w:val="auto"/>
        </w:rPr>
        <w:t>o</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13" w:lineRule="exact"/>
        <w:rPr>
          <w:sz w:val="20"/>
          <w:szCs w:val="20"/>
          <w:color w:val="auto"/>
        </w:rPr>
      </w:pPr>
    </w:p>
    <w:p>
      <w:pPr>
        <w:jc w:val="right"/>
        <w:spacing w:after="0"/>
        <w:tabs>
          <w:tab w:leader="none" w:pos="66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Item 17</w:t>
      </w:r>
      <w:r>
        <w:rPr>
          <w:sz w:val="20"/>
          <w:szCs w:val="20"/>
          <w:color w:val="auto"/>
        </w:rPr>
        <w:tab/>
      </w:r>
      <w:r>
        <w:rPr>
          <w:rFonts w:ascii="Wingdings" w:cs="Wingdings" w:eastAsia="Wingdings" w:hAnsi="Wingdings"/>
          <w:sz w:val="13"/>
          <w:szCs w:val="13"/>
          <w:b w:val="1"/>
          <w:bCs w:val="1"/>
          <w:color w:val="auto"/>
        </w:rPr>
        <w:t xml:space="preserve">o </w:t>
      </w:r>
      <w:r>
        <w:rPr>
          <w:rFonts w:ascii="Times New Roman" w:cs="Times New Roman" w:eastAsia="Times New Roman" w:hAnsi="Times New Roman"/>
          <w:sz w:val="13"/>
          <w:szCs w:val="13"/>
          <w:color w:val="auto"/>
        </w:rPr>
        <w:t>Item 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13" w:lineRule="exact"/>
        <w:rPr>
          <w:sz w:val="20"/>
          <w:szCs w:val="20"/>
          <w:color w:val="auto"/>
        </w:rPr>
      </w:pPr>
    </w:p>
    <w:p>
      <w:pPr>
        <w:jc w:val="right"/>
        <w:spacing w:after="0"/>
        <w:tabs>
          <w:tab w:leader="none" w:pos="38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1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70" w:lineRule="exact"/>
        <w:rPr>
          <w:sz w:val="20"/>
          <w:szCs w:val="20"/>
          <w:color w:val="auto"/>
        </w:rPr>
      </w:pPr>
    </w:p>
    <w:p>
      <w:pPr>
        <w:jc w:val="right"/>
        <w:spacing w:after="0"/>
        <w:tabs>
          <w:tab w:leader="none" w:pos="36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0000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INTRODUCTION</w:t>
            </w:r>
          </w:p>
        </w:tc>
        <w:tc>
          <w:tcPr>
            <w:tcW w:w="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3"/>
        </w:trPr>
        <w:tc>
          <w:tcPr>
            <w:tcW w:w="20" w:type="dxa"/>
            <w:vAlign w:val="bottom"/>
            <w:tcBorders>
              <w:top w:val="single" w:sz="8" w:color="CCEEFF"/>
            </w:tcBorders>
          </w:tcPr>
          <w:p>
            <w:pPr>
              <w:spacing w:after="0"/>
              <w:rPr>
                <w:sz w:val="17"/>
                <w:szCs w:val="17"/>
                <w:color w:val="auto"/>
              </w:rPr>
            </w:pPr>
          </w:p>
        </w:tc>
        <w:tc>
          <w:tcPr>
            <w:tcW w:w="9220" w:type="dxa"/>
            <w:vAlign w:val="bottom"/>
            <w:tcBorders>
              <w:top w:val="single" w:sz="8" w:color="CCEEFF"/>
            </w:tcBorders>
            <w:gridSpan w:val="44"/>
          </w:tcPr>
          <w:p>
            <w:pPr>
              <w:spacing w:after="0" w:line="202" w:lineRule="exact"/>
              <w:rPr>
                <w:sz w:val="20"/>
                <w:szCs w:val="20"/>
                <w:color w:val="auto"/>
              </w:rPr>
            </w:pPr>
            <w:r>
              <w:rPr>
                <w:rFonts w:ascii="Times New Roman" w:cs="Times New Roman" w:eastAsia="Times New Roman" w:hAnsi="Times New Roman"/>
                <w:sz w:val="18"/>
                <w:szCs w:val="18"/>
                <w:color w:val="0000FF"/>
              </w:rPr>
              <w:t>FORWARD-LOOKING INFORMATION</w:t>
            </w:r>
          </w:p>
        </w:tc>
        <w:tc>
          <w:tcPr>
            <w:tcW w:w="20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48"/>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tcBorders>
              <w:bottom w:val="single" w:sz="8" w:color="0000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4420" w:type="dxa"/>
            <w:vAlign w:val="bottom"/>
            <w:tcBorders>
              <w:bottom w:val="single" w:sz="8" w:color="CCEEFF"/>
            </w:tcBorders>
            <w:gridSpan w:val="13"/>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Key Information</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tcBorders>
              <w:bottom w:val="single" w:sz="8" w:color="0000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Information on the Company</w:t>
            </w:r>
          </w:p>
        </w:tc>
        <w:tc>
          <w:tcPr>
            <w:tcW w:w="5200" w:type="dxa"/>
            <w:vAlign w:val="bottom"/>
            <w:tcBorders>
              <w:bottom w:val="single" w:sz="8" w:color="CCEEFF"/>
            </w:tcBorders>
            <w:gridSpan w:val="16"/>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4A.</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tcBorders>
              <w:bottom w:val="single" w:sz="8" w:color="0000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0000FF"/>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3920" w:type="dxa"/>
            <w:vAlign w:val="bottom"/>
            <w:tcBorders>
              <w:bottom w:val="single" w:sz="8" w:color="CCEEFF"/>
            </w:tcBorders>
            <w:gridSpan w:val="10"/>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r>
      <w:tr>
        <w:trPr>
          <w:trHeight w:val="203"/>
        </w:trPr>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40" w:type="dxa"/>
            <w:vAlign w:val="bottom"/>
            <w:tcBorders>
              <w:top w:val="single" w:sz="8" w:color="0000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tcBorders>
              <w:top w:val="single" w:sz="8" w:color="0000FF"/>
            </w:tcBorders>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700" w:type="dxa"/>
            <w:vAlign w:val="bottom"/>
            <w:tcBorders>
              <w:top w:val="single" w:sz="8" w:color="0000FF"/>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3600" w:type="dxa"/>
            <w:vAlign w:val="bottom"/>
            <w:tcBorders>
              <w:top w:val="single" w:sz="8" w:color="CCEEFF"/>
            </w:tcBorders>
            <w:gridSpan w:val="8"/>
          </w:tcPr>
          <w:p>
            <w:pPr>
              <w:spacing w:after="0"/>
              <w:rPr>
                <w:sz w:val="17"/>
                <w:szCs w:val="17"/>
                <w:color w:val="auto"/>
              </w:rPr>
            </w:pPr>
          </w:p>
        </w:tc>
        <w:tc>
          <w:tcPr>
            <w:tcW w:w="20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180" w:type="dxa"/>
            <w:vAlign w:val="bottom"/>
            <w:tcBorders>
              <w:bottom w:val="single" w:sz="8" w:color="0000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The Offer and Listing</w:t>
            </w:r>
          </w:p>
        </w:tc>
        <w:tc>
          <w:tcPr>
            <w:tcW w:w="5720" w:type="dxa"/>
            <w:vAlign w:val="bottom"/>
            <w:tcBorders>
              <w:bottom w:val="single" w:sz="8" w:color="CCEEFF"/>
            </w:tcBorders>
            <w:gridSpan w:val="23"/>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Additional Information</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bottom w:val="single" w:sz="8" w:color="0000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88"/>
              </w:rPr>
              <w:t>11.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0000FF"/>
            </w:tcBorders>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980" w:type="dxa"/>
            <w:vAlign w:val="bottom"/>
            <w:tcBorders>
              <w:bottom w:val="single" w:sz="8" w:color="CCEEFF"/>
            </w:tcBorders>
            <w:gridSpan w:val="5"/>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440" w:type="dxa"/>
            <w:vAlign w:val="bottom"/>
            <w:tcBorders>
              <w:bottom w:val="single" w:sz="8" w:color="0000FF"/>
              <w:right w:val="single" w:sz="8" w:color="CCEEFF"/>
            </w:tcBorders>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16A.</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FF"/>
            </w:tcBorders>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Audit Committee Financial Expert</w:t>
            </w:r>
          </w:p>
        </w:tc>
        <w:tc>
          <w:tcPr>
            <w:tcW w:w="4800" w:type="dxa"/>
            <w:vAlign w:val="bottom"/>
            <w:tcBorders>
              <w:bottom w:val="single" w:sz="8" w:color="CCEEFF"/>
            </w:tcBorders>
            <w:gridSpan w:val="15"/>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16B.</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Code of Ethics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16C.</w:t>
            </w:r>
          </w:p>
        </w:tc>
        <w:tc>
          <w:tcPr>
            <w:tcW w:w="560" w:type="dxa"/>
            <w:vAlign w:val="bottom"/>
            <w:shd w:val="clear" w:color="auto" w:fill="CCEEFF"/>
          </w:tcPr>
          <w:p>
            <w:pPr>
              <w:spacing w:after="0"/>
              <w:rPr>
                <w:sz w:val="17"/>
                <w:szCs w:val="17"/>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16D.</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80" w:type="dxa"/>
            <w:vAlign w:val="bottom"/>
            <w:tcBorders>
              <w:bottom w:val="single" w:sz="8" w:color="0000FF"/>
            </w:tcBorders>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w w:val="95"/>
              </w:rPr>
              <w:t>16E.</w:t>
            </w:r>
          </w:p>
        </w:tc>
        <w:tc>
          <w:tcPr>
            <w:tcW w:w="32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0000FF"/>
            </w:tcBorders>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2260" w:type="dxa"/>
            <w:vAlign w:val="bottom"/>
            <w:tcBorders>
              <w:bottom w:val="single" w:sz="8" w:color="CCEEFF"/>
            </w:tcBorders>
            <w:gridSpan w:val="2"/>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16F.</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440" w:type="dxa"/>
            <w:vAlign w:val="bottom"/>
            <w:tcBorders>
              <w:bottom w:val="single" w:sz="8" w:color="0000FF"/>
              <w:right w:val="single" w:sz="8" w:color="CCEEFF"/>
            </w:tcBorders>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16G.</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0000FF"/>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5660" w:type="dxa"/>
            <w:vAlign w:val="bottom"/>
            <w:tcBorders>
              <w:bottom w:val="single" w:sz="8" w:color="CCEEFF"/>
            </w:tcBorders>
            <w:gridSpan w:val="22"/>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16H.</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16I.</w:t>
            </w:r>
          </w:p>
        </w:tc>
        <w:tc>
          <w:tcPr>
            <w:tcW w:w="560" w:type="dxa"/>
            <w:vAlign w:val="bottom"/>
            <w:shd w:val="clear" w:color="auto" w:fill="CCEEFF"/>
          </w:tcPr>
          <w:p>
            <w:pPr>
              <w:spacing w:after="0"/>
              <w:rPr>
                <w:sz w:val="17"/>
                <w:szCs w:val="17"/>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700" w:type="dxa"/>
            <w:vAlign w:val="bottom"/>
            <w:gridSpan w:val="9"/>
          </w:tcPr>
          <w:p>
            <w:pPr>
              <w:ind w:left="40"/>
              <w:spacing w:after="0" w:line="202" w:lineRule="exact"/>
              <w:rPr>
                <w:sz w:val="20"/>
                <w:szCs w:val="20"/>
                <w:color w:val="auto"/>
              </w:rPr>
            </w:pPr>
            <w:r>
              <w:rPr>
                <w:rFonts w:ascii="Times New Roman" w:cs="Times New Roman" w:eastAsia="Times New Roman" w:hAnsi="Times New Roman"/>
                <w:sz w:val="18"/>
                <w:szCs w:val="18"/>
                <w:color w:val="0000FF"/>
              </w:rPr>
              <w:t>16J.</w:t>
            </w: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Insider Trading Policies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440" w:type="dxa"/>
            <w:vAlign w:val="bottom"/>
            <w:tcBorders>
              <w:bottom w:val="single" w:sz="8" w:color="0000FF"/>
              <w:right w:val="single" w:sz="8" w:color="CCEEFF"/>
            </w:tcBorders>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16K.</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Cybersecurity</w:t>
            </w:r>
          </w:p>
        </w:tc>
        <w:tc>
          <w:tcPr>
            <w:tcW w:w="6280" w:type="dxa"/>
            <w:vAlign w:val="bottom"/>
            <w:tcBorders>
              <w:bottom w:val="single" w:sz="8" w:color="CCEEFF"/>
            </w:tcBorders>
            <w:gridSpan w:val="28"/>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203"/>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3"/>
              </w:rPr>
              <w:t>PART III</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0"/>
              </w:rPr>
              <w:t>Item</w:t>
            </w:r>
          </w:p>
        </w:tc>
        <w:tc>
          <w:tcPr>
            <w:tcW w:w="30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3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36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unless otherwise indicated or unless the context otherwise requires:</w:t>
      </w:r>
    </w:p>
    <w:p>
      <w:pPr>
        <w:spacing w:after="0" w:line="239" w:lineRule="exact"/>
        <w:rPr>
          <w:sz w:val="20"/>
          <w:szCs w:val="20"/>
          <w:color w:val="auto"/>
        </w:rPr>
      </w:pPr>
    </w:p>
    <w:p>
      <w:pPr>
        <w:ind w:left="980" w:right="400" w:hanging="324"/>
        <w:spacing w:after="0" w:line="295" w:lineRule="auto"/>
        <w:tabs>
          <w:tab w:leader="none" w:pos="975"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color w:val="auto"/>
        </w:rPr>
        <w:t>“2025 ATW Convertible Notes” means the convertible notes issued by ECARX Holdings to ATW Mobility SPV LLC in the aggregate principal amount of US$50 million as of the date of this annual report pursuant to the 2025 ATW Convertible Note Purchase Agreement;</w:t>
      </w:r>
    </w:p>
    <w:p>
      <w:pPr>
        <w:spacing w:after="0" w:line="207" w:lineRule="exact"/>
        <w:rPr>
          <w:rFonts w:ascii="Arial" w:cs="Arial" w:eastAsia="Arial" w:hAnsi="Arial"/>
          <w:sz w:val="17"/>
          <w:szCs w:val="17"/>
          <w:color w:val="auto"/>
        </w:rPr>
      </w:pPr>
    </w:p>
    <w:p>
      <w:pPr>
        <w:ind w:left="980" w:hanging="324"/>
        <w:spacing w:after="0" w:line="228" w:lineRule="auto"/>
        <w:tabs>
          <w:tab w:leader="none" w:pos="97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“2025 ATW Convertible Note Purchase Agreement” means the securities purchase agreement dated October 30, 2025 between ECARX Holdings and ATW Mobility SPV LLC under which we agree to issue and sell pursuant to our Indenture, dated October 30, 2025 between us and U.S. Bank Trust Company, National Association, as trustee, and a First Supplemental Indenture entered into between us and the trustee, in one or more registered direct offerings by us directly to ATW Mobility SPV LLC, convertible notes for up to an aggregate principal amount of US$150 million that will be convertible into Class A Ordinary Shares;</w:t>
      </w:r>
    </w:p>
    <w:p>
      <w:pPr>
        <w:spacing w:after="0" w:line="255" w:lineRule="exact"/>
        <w:rPr>
          <w:rFonts w:ascii="Times New Roman" w:cs="Times New Roman" w:eastAsia="Times New Roman" w:hAnsi="Times New Roman"/>
          <w:sz w:val="22"/>
          <w:szCs w:val="22"/>
          <w:color w:val="auto"/>
        </w:rPr>
      </w:pPr>
    </w:p>
    <w:p>
      <w:pPr>
        <w:ind w:left="980" w:right="60" w:hanging="324"/>
        <w:spacing w:after="0" w:line="227" w:lineRule="auto"/>
        <w:tabs>
          <w:tab w:leader="none" w:pos="97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“2025 Convertible Notes” means the convertible notes issued by ECARX Holdings to certain institutional investors in the aggregate principal amount of US$100 million as of the date of this annual report pursuant to the 2025 Convertible Note Purchase Agreement;</w:t>
      </w:r>
    </w:p>
    <w:p>
      <w:pPr>
        <w:spacing w:after="0" w:line="253" w:lineRule="exact"/>
        <w:rPr>
          <w:rFonts w:ascii="Times New Roman" w:cs="Times New Roman" w:eastAsia="Times New Roman" w:hAnsi="Times New Roman"/>
          <w:sz w:val="22"/>
          <w:szCs w:val="22"/>
          <w:color w:val="auto"/>
        </w:rPr>
      </w:pPr>
    </w:p>
    <w:p>
      <w:pPr>
        <w:ind w:left="980" w:right="40" w:hanging="324"/>
        <w:spacing w:after="0" w:line="231" w:lineRule="auto"/>
        <w:tabs>
          <w:tab w:leader="none" w:pos="97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“2025 Convertible Note Purchase Agreement” means the convertible note purchase agreement dated November 3, 2025 between ECARX Holdings, a certain institutional investor and such other parties that may accede to such agreement from time to time, which was entered into in connection with the refinancing of the US$65 million convertible notes issued by Company in October 2022 and contemplates the issuance and sale by us of up to US$100 million of convertible notes;</w:t>
      </w:r>
    </w:p>
    <w:p>
      <w:pPr>
        <w:spacing w:after="0" w:line="2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means advanced driver assistance system;</w:t>
      </w:r>
    </w:p>
    <w:p>
      <w:pPr>
        <w:spacing w:after="0" w:line="238"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transactions contemplated by the Agreement and Plan of Merger, dated as of May 26, 2022 by and among COVA, ECARX Holdings, Ecarx Temp Limited, and Ecarx&amp;Co Limited;</w:t>
      </w:r>
    </w:p>
    <w:p>
      <w:pPr>
        <w:spacing w:after="0" w:line="1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means Class A ordinary shares of ECARX Holdings, par value US$0.000005 per share;</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means Class B ordinary shares of ECARX Holdings, par value US$0.000005 per share;</w:t>
      </w:r>
    </w:p>
    <w:p>
      <w:pPr>
        <w:spacing w:after="0" w:line="238" w:lineRule="exact"/>
        <w:rPr>
          <w:rFonts w:ascii="Times New Roman" w:cs="Times New Roman" w:eastAsia="Times New Roman" w:hAnsi="Times New Roman"/>
          <w:sz w:val="18"/>
          <w:szCs w:val="18"/>
          <w:color w:val="auto"/>
        </w:rPr>
      </w:pPr>
    </w:p>
    <w:p>
      <w:pPr>
        <w:ind w:left="980" w:right="140" w:hanging="324"/>
        <w:spacing w:after="0" w:line="24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 means COVA Acquisition Corp., a blank check company that was incorporated as a Cayman Islands exempted company for the purpose of effecting a merger, share exchange, asset acquisition, share purchase, reorganization, or similar business combination with one or more businesses or entities;</w:t>
      </w:r>
    </w:p>
    <w:p>
      <w:pPr>
        <w:spacing w:after="0" w:line="210" w:lineRule="exact"/>
        <w:rPr>
          <w:rFonts w:ascii="Times New Roman" w:cs="Times New Roman" w:eastAsia="Times New Roman" w:hAnsi="Times New Roman"/>
          <w:sz w:val="18"/>
          <w:szCs w:val="18"/>
          <w:color w:val="auto"/>
        </w:rPr>
      </w:pPr>
    </w:p>
    <w:p>
      <w:pPr>
        <w:ind w:left="980" w:right="20" w:hanging="324"/>
        <w:spacing w:after="0" w:line="245"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“ECARX,” “we,” or “our company” means ECARX Holdings and its subsidiaries (and, in the context of describing ECARX’s historical operations and consolidated financial information, also the former VIEs for the periods prior to the Restructuring), and references to “our” financial statements, share capital, securities (including shares, options, and warrants), shareholders, directors, board of directors, and auditors are to those of ECARX Holdings, respectively;</w:t>
      </w:r>
    </w:p>
    <w:p>
      <w:pPr>
        <w:spacing w:after="0" w:line="207"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“ECARX Holdings” means ECARX Holdings Inc., an exempted company limited by shares incorporated under the laws of the Cayman Islands;</w:t>
      </w:r>
    </w:p>
    <w:p>
      <w:pPr>
        <w:spacing w:after="0" w:line="1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promulgated thereunder;</w:t>
      </w:r>
    </w:p>
    <w:p>
      <w:pPr>
        <w:spacing w:after="0" w:line="23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Auto” means Geely Automobile Holdings Limited, which manages brands including Geely, Lynk &amp; Co, Geometry, and Zeekr, among others;</w:t>
      </w:r>
    </w:p>
    <w:p>
      <w:pPr>
        <w:spacing w:after="0" w:line="189"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ecosystem” means Geely Auto, Volvo Car, Polestar, smart, Lotus, Proton, LEVC, and other automotive OEMs that are affiliated with or are investee companies of Geely Holding;</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Holding” means Zhejiang Geely Holding Group Co., Ltd.;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collectively, Class A Ordinary Shares and Class B Ordinary Shares;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means the Public Company Accounting Oversight Board;</w:t>
      </w:r>
    </w:p>
    <w:p>
      <w:pPr>
        <w:spacing w:after="0" w:line="238"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warrants to purchase Class A Ordinary Shares at an exercise price of US$11.50 per share, which were issued upon the closing of the Business Combination in exchange for the public warrants of COVA that were issued in COVA’s initial public offering that was consummated on February 9, 2021;</w:t>
      </w:r>
    </w:p>
    <w:p>
      <w:pPr>
        <w:spacing w:after="0" w:line="2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means the legal currency of China;</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means a series of transactions that ECARX implemented to restructure its organization and business operations in early 2022, through which the contractual arrangements that allowed us to consolidate the former VIE were terminated;</w:t>
      </w:r>
    </w:p>
    <w:p>
      <w:pPr>
        <w:spacing w:after="0" w:line="1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 means system on a chip;</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COVA Acquisition Sponsor LLC, a Cayman Islands limited liability company;</w:t>
      </w:r>
    </w:p>
    <w:p>
      <w:pPr>
        <w:spacing w:after="0" w:line="23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Warrants” means warrants to purchase Class A Ordinary Shares at an exercise price of US$11.50 per share, which were issued to the Sponsor upon the closing of the Business Combination;</w:t>
      </w:r>
    </w:p>
    <w:p>
      <w:pPr>
        <w:spacing w:after="0" w:line="1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means United States dollars, the legal currency of the United States;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means accounting principles generally accepted in the United States of America;</w:t>
      </w:r>
    </w:p>
    <w:p>
      <w:pPr>
        <w:spacing w:after="0" w:line="238" w:lineRule="exact"/>
        <w:rPr>
          <w:rFonts w:ascii="Times New Roman" w:cs="Times New Roman" w:eastAsia="Times New Roman" w:hAnsi="Times New Roman"/>
          <w:sz w:val="18"/>
          <w:szCs w:val="18"/>
          <w:color w:val="auto"/>
        </w:rPr>
      </w:pPr>
    </w:p>
    <w:p>
      <w:pPr>
        <w:ind w:left="980" w:right="400" w:hanging="324"/>
        <w:spacing w:after="0" w:line="296" w:lineRule="auto"/>
        <w:tabs>
          <w:tab w:leader="none" w:pos="9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“VIE” means variable interest entity. “The former VIE” or “Hubei ECARX” means Hubei ECARX Technology Co., Ltd., a former consolidated variable interest entity of ECARX, and “the former VIEs” means Hubei ECARX Technology Co., Ltd. and its subsidiaries;</w:t>
      </w:r>
    </w:p>
    <w:p>
      <w:pPr>
        <w:spacing w:after="0" w:line="165" w:lineRule="exact"/>
        <w:rPr>
          <w:rFonts w:ascii="Times New Roman" w:cs="Times New Roman" w:eastAsia="Times New Roman" w:hAnsi="Times New Roman"/>
          <w:sz w:val="17"/>
          <w:szCs w:val="17"/>
          <w:color w:val="auto"/>
        </w:rPr>
      </w:pPr>
    </w:p>
    <w:p>
      <w:pPr>
        <w:ind w:left="980" w:right="100" w:hanging="324"/>
        <w:spacing w:after="0" w:line="24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means the Warrant Agreement dated February 4, 2021 by and between COVA and Continental Stock Transfer &amp; Trust Company, as warrant agent, as amended and assigned to ECARX Holdings pursuant to the Assignment, Assumption and Amendment Agreement dated December 20, 2022 by and between COVA, ECARX Holdings, and Continental Stock Transfer &amp; Trust Company; and</w:t>
      </w:r>
    </w:p>
    <w:p>
      <w:pPr>
        <w:spacing w:after="0" w:line="21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means, collectively, the Public Warrants and the Sponsor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discrepancies in any table between the amounts identified as total amounts and the sum of the amounts listed therein are due to rounding.</w:t>
      </w:r>
    </w:p>
    <w:p>
      <w:pPr>
        <w:spacing w:after="0" w:line="239"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During 2025, we decided to change our reporting currency from Chinese Renminbi to US $. This change was made as a result of our assessment that the change will help provide a clearer understanding of our financial performance to investors and improve comparability of our performance to peers, particularly due to our ongoing international expansion. The change in the reporting currency is a voluntary change and is accounted for retrospectively. The comparative financial information presented has been translated into the new reporting currency as if we have always used US$ as the reporting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19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5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changes in laws, regulations or policies in the jurisdictions in which we operate;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 and general market and economic conditions in the jurisdictions in which we operate and beyond;</w:t>
      </w:r>
    </w:p>
    <w:p>
      <w:pPr>
        <w:spacing w:after="0" w:line="117" w:lineRule="exact"/>
        <w:rPr>
          <w:rFonts w:ascii="Times New Roman" w:cs="Times New Roman" w:eastAsia="Times New Roman" w:hAnsi="Times New Roman"/>
          <w:sz w:val="18"/>
          <w:szCs w:val="18"/>
          <w:color w:val="auto"/>
        </w:rPr>
      </w:pPr>
    </w:p>
    <w:p>
      <w:pPr>
        <w:ind w:left="980" w:right="10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the research and development of our products and services, as well as of their manufacturing, launch, commercialization and delivery;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outlook of the automobile and automotive intelligence industries in China and globally;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Tier 1 suppliers, and our other customers, suppliers, other business partners and stakeholders;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highly competitive industries and markets;</w:t>
      </w:r>
    </w:p>
    <w:p>
      <w:pPr>
        <w:spacing w:after="0" w:line="117"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adjust our offerings to meet market demand, attract customers to choose our products and services, and grow our ecosystem;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strategies, manage growth, and maintain our corporate culture as we grow;</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new products, services, collaboration arrangements, technologies and strategic acquisitions, and the effect of these investments on our results of operations;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needs for capital and the availability of financing and capital to fund these needs;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our ability to address those trends and developments with our products and services;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price-competitiveness, quality, and breadth of our products and services;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acceptable terms;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man-made or natural disasters, health epidemics, and other outbreaks including war, acts of international or domestic terrorism, civil disturbances, occurrences of catastrophic events, and acts of God such as floods, earthquakes, wildfires, typhoons, and other adverse weather and natural conditions that affect our business or assets;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rates of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future financing efforts; and</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risks and uncertainties described in “Item 3. Key Information—D. Risk Factors” and “Item 5.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 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China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154305</wp:posOffset>
            </wp:positionV>
            <wp:extent cx="5709285" cy="3429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ECARX Holdings is not an operating company but a Cayman Islands holding company. We conduct operations through our subsidiaries, with our operations in China currently being conducted by our PRC subsidiaries. Investors in the Class A Ordinary Shares or in ECARX Holdings are not acquiring equity interest in any operating company but instead are acquiring interest in a Cayman Islands holding company. This holding company structure involves unique risks to investors. As a holding company, ECARX Holdings may rely on dividends from its subsidiaries for cash requirements, including any payment of dividends to its shareholders. The ability of our subsidiaries to pay dividends or make distributions to ECARX Holdings may be restricted by laws and regulations applicable to them or the debt they incur on their own behalf or the instruments governing their debt. In addition, PRC regulatory authorities could disallow this holding company structure and limit or hinder our ability to conduct our business through, receive dividends or distributions from, or transfer funds to, the operating companies or list on a U.S. or other foreign exchange, which could cause the value of our securities to significantly decline or become worthless.</w:t>
      </w:r>
    </w:p>
    <w:p>
      <w:pPr>
        <w:spacing w:after="0" w:line="212"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auto"/>
        </w:rPr>
        <w:t>Prior to 2022, we conducted our operations in China through our PRC subsidiaries and through Hubei ECARX Technology Co., Ltd., the former VIE, with which we, our subsidiary, and the nominee shareholders of the former VIE entered into certain contractual arrangement. PRC laws, regulations, and rules restrict and impose conditions on foreign investment in certain types of businesses, and we operated certain businesses, including businesses that were subject to such restrictions and conditions in China such as surveying and mapping services and ICP businesses, through the former</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We did not own any equity interest in the former VIEs and relied on the contractual arrangements to direct their business operations. Such structure enables investors to invest in China-based companies in sectors where foreign direct investment is prohibited or restricted under PRC laws and regulations. We effected the Restructuring in 2022 and terminated the VIE corporate structure. The termination was due to the increased regulatory scrutiny over such structure and because the businesses and assets relating to surveying and mapping services and ICP businesses held by Hubei ECARX, the former VIE, were inconsequential to our operations in 2020 and 2021 and which we believe have not had and will not have any material impact on our business operations or financial results. Following the Restructuring in 2022, the contractual arrangement of the VIE structure was terminated and currently we do not have any VIE in China.</w:t>
      </w:r>
    </w:p>
    <w:p>
      <w:pPr>
        <w:spacing w:after="0" w:line="21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relating to doing business in China. Our business operations are primarily conducted in China, and we are subject to complex and evolving PRC laws and regulations. For example, the PRC government has issued statements and regulatory actions relating to areas such as regulatory approvals on overseas offerings and listings by, and foreign investment in, China-based issuers, anti-monopoly regulatory actions, and oversight on cybersecurity and data privacy. It remains uncertain how PRC government authorities will regulate overseas listings and offerings in general and whether we can fully comply with applicable regulatory requirements, including completing filings with the China Securities Regulatory Commission, or the CSRC, and whether we are required to complete other filings or obtain any specific regulatory approvals from the CSRC, the Cyberspace Administration of China, or the CAC, or any other PRC government authorities for our overseas offerings and listings, as applicable. In addition, if future regulatory developments mandate clearance of cybersecurity review or other specific actions to be completed by China-based companies listed on foreign stock exchanges, such as us, we face uncertainties as to whether such clearance can be timely obtained, or at all. These risks may impact our ability to conduct certain businesses, accept foreign investments, or list and conduct offerings on a stock exchange in the United States or any other foreign country. These risks could result in a material adverse change in our operations and the value of our Class A Ordinary Shares, significantly limit or completely hinder our ability to continue to offer securities to investors, or cause the value of such securities to significantly decline or become worthless. For a detailed description of risks relating to doing business in China, see “Item 3. Key Information— D. Risk Factors—Risks Relating to Doing Business in China.”</w:t>
      </w:r>
    </w:p>
    <w:p>
      <w:pPr>
        <w:spacing w:after="0" w:line="22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such as data security or anti-monopoly related regulations, may cause the value of such securities to significantly decline. For more details, see “Item 3. Key Information—D. Risk Factors—Risks Relating to Doing Business in China—The PRC government has significant oversight and discretion over our business operations, and it may influence our operations as part of its efforts to enforce PRC law, which could result in a material adverse change in our operations and the value of our securities.”</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Risks and uncertainties regarding the interpretation and enforcement of laws and quickly evolving rules and regulations in China, could result in a material adverse change in our operations and the value of our Class A Ordinary Shares. For more details, see “Item 3. Key Information—D. Risk Factors —Risks Relating to Doing Business in China—Risks and uncertainties regarding the interpretation and enforcement of PRC laws and regulations could limit the legal protections available to you and us, hinder our ability and the ability of any holder of our securities to offer or continue to offer such securities, result in a material adverse change to our business operations, and damage our reputation, which would materially and adversely affect our financial condition and results of operations and cause our securities to significantly decline in value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as amended by the Consolidated Appropriations Act, 2023,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HFCAA after we file our annual report on Form 20-F for the fiscal year ended December 31, 2025. Each year, the PCAOB will determine whether it can inspect and investigate completely registered public accounting firms in mainland China and Hong Kong, among other jurisdictions. If PCAOB determines in the future that it no longer has full access to inspect and investigate completely registered public accounting firms in mainland China and Hong Kong and we continue to use a registered public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 —D.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securities may be prohibited from trading in the United States under the HFCAA in the future if the PCAOB is unable to inspect or investigate completely auditors located in mainland China and Hong Kong. The delisting of our securities, or the threat of their being delisted, may materially and adversely affect the value of your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 Required from the PRC Authorities for Our Operations</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conduct our operations in China through our PRC subsidiaries. Each of our mainland China subsidiaries is required to obtain, and has obtained, a business license issued by PRC authorities such as the State Administration for Market Regulation, or the SAMR, and its local counterparts. Our mainland China subsidiaries are also required to obtain, and have obtained, additional operating licenses and permits in connection with their operations, including but not limited to the model confirmation, compulsory product certifications, and network connection licenses for certain of our products. None of our mainland China subsidiaries has been subject to any penalties or other disciplinary actions from any authority in mainland China for the failure to obtain or insufficiency of any approvals or permits in connection with the conduct of its business operations as of the date of this annual report.</w:t>
      </w:r>
    </w:p>
    <w:p>
      <w:pPr>
        <w:spacing w:after="0" w:line="21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has sought to exert more control and impose more restrictions on China-based issuers raising capital overseas and such efforts may continue or intensify in the future. On July 6, 2021, the Opinions on Severely Cracking Down on Illegal Securities Activities According to Law, which emphasized the need to strengthen the supervision over overseas listings by mainland China-based companies, was enacted. Effective measures, such as promoting the establishment of regulatory frameworks, are to be taken to deal with the risks and incidents of mainland China-based overseas-listed companies, cybersecurity and data privacy protection requirements, and similar matters. The revised Measures for Cybersecurity Review issued by the CAC, and several other administrations on December 28, 2021 (which took effect on February 15, 2022) require that, both critical information infrastructure operators purchasing network products or services that affect or may affect national security and “online platform operators” carrying out data processing activities that affect or may affect national security should be subject to the cybersecurity review. As of the date of this annual report, (i) we have not been informed that we are a critical information infrastructure operator or a data processor conducting data processing activities that affect or may affect national security by any government authority, although it is uncertain whether we would in fact be categorized as such under the PRC law; and (ii) we have not been involved in any investigations or cybersecurity review by the CAC and we have not received any official inquiry, notice, warning, or sanctions in this respect.</w:t>
      </w:r>
    </w:p>
    <w:p>
      <w:pPr>
        <w:spacing w:after="0" w:line="21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several regulations regarding the filing requirements for overseas offerings and listings by mainland China-based issuers, including the Trial Administrative Measures of Overseas Securities Offering and Listing by Domestic Companies and five supporting guidelines, or collectively the Overseas Listing Filing Rules, which took effect on March 31, 2023. According to the Overseas Listing Filing Rules, for an issuer which is already listed, it should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 dividends, share split, etc., (iii) it issues additional securities in several offerings within its authorized scope; or (iv) it conducts a secondary listing or primary listing in any other overseas market. Failure to comply with the filing requirements may result in fines, suspension of their businesses, revocation of their business licenses and operation permits and fines on the controlling shareholder and other responsible persons. On February 17, 2023, the CSRC issued the Notice on Administrative Arrangements for the Filing of Domestic Enterprise’s Overseas Offering and Listing, which stipulates that mainland China-based issuers like us that have completed overseas listings prior to March 31, 2023 are not required to file with CSRC immediately, but must carry out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procedures as required if we conduct refinancing or if other circumstances arise, which will require us to make a filing with the CSRC.</w:t>
      </w:r>
    </w:p>
    <w:p>
      <w:pPr>
        <w:spacing w:after="0" w:line="2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Based on the opinion of Han Kun Law Offices, our legal counsel as to the law of mainland China, according to its interpretation of the laws and regulations of mainland China currently in effect, we believe that, as of the date of this annual report, our past offerings do not require the application or completion of any cybersecurity review or any other permission or approval from any government authorities in mainland China including the CSRC. For more detailed information, see “Item 3. Key Information—D. Risk Factors — Risks Relating to Doing Business in China — The approval of and filing with the CSRC or other PRC government authorities may be required in connection with the Business Combination, our previous offerings and listing under PRC law, and, if so required, we cannot predict whether or when we will be able to obtain such approval or complete such filing, and even if we obtain such approval, it could be rescinded” in this annual report. Any failure to obtain or delay in obtaining the required approvals or completing the required procedures could subject us to restrictions and penalties imposed by the CSRC, the CAC, or other PRC regulatory authorities, which could include fines and penalties on our operations in China, delays of or restrictions on the repatriation of the proceeds from our overseas offerings into China, or other actions that could materially and adversely affect our business, financial condition, results of operations, and prospects.</w:t>
      </w:r>
    </w:p>
    <w:p>
      <w:pPr>
        <w:spacing w:after="0" w:line="2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(i) we do not receive or maintain any permits or approvals required of us, (ii) we inadvertently concluded that certain permits or approvals have been acquired or are not required, or (iii) applicable laws, regulations, or interpretations thereof change and we become subject to the requirement of additional permits or approvals in the future, we may have to expend significant time and costs to procure them. If we are unable to do so, on commercially reasonable terms, in a timely manner or otherwise, we may become subject to sanctions imposed by the PRC regulatory authorities, which could include fines and penalties, proceedings against us, and other forms of sanctions, and our ability to conduct our business, invest into China as foreign investments or accept foreign investments, or list on a U.S. or other overseas exchange may be restricted, and our business, reputation, financial condition, and results of operations may be materially and adversely affected. For more detailed information, see “Item 3. Key Information—D. Risk Factors—Risks Relating to Doing Business in China—Risks and uncertainties regarding the interpretation and enforcement of PRC laws and regulations could limit the legal protections available to you and us, hinder our ability and the ability of any holder of our securities to offer or continue to offer such securities, result in a material adverse change to our business operations, and damage our reputation, which would materially and adversely affect our financial condition and results of operations and cause our securities to significantly decline in value or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Respect to Certain Personal Data</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response to the move by PRC government authorities to tighten the regulatory framework governing data security, cybersecurity and privacy, in September 2021 we initiated the process to transfer the rights of our mainland China subsidiaries and of the former VIE to access personal data relevant to their respective business operations to Zhejiang Huanfu Technology Co., Ltd., or Zhejiang Huanfu, an entity controlled by our controlling shareholder. The transfer was completed in December 2021. In January 2022, we entered into a procurement framework agreement with Zhejiang Huanfu and thereafter concluded several procurement-related contracts pursuant to the procurement framework agreement to procure certain data-related services from Zhejiang Huanfu and fulfill our obligations to our PRC customers that were committed to prior to the aforementioned transfer to Zhejiang Huanfu for the sole purpose of restricting our access to personal data. Under these contracts, we engaged Zhejiang Huanfu to provide telematics service provider services relating to hosting of information, including personal data, as well as IT system support and troubleshooting. We also license certain intellectual property to Zhejiang Huanfu to enable it to perform its services. These contracts are governed by terms that we typically enter into with our suppliers. As of the date of this annual report, our mainland China subsidiaries do not have any right to access or process any personal data in China, other than certain employee personal data and certain vehicle identification numbers provided by automotive OEMs in association with our provision of product repair and maintenance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Transfers and Dividend Distribution</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Cash is transferred from ECARX Holdings to our subsidiaries through capital contributions, loans, and inter-company advances. In addition, cash may be transferred among our subsidiaries, through capital contributions, loans and settlement of transactions. Under our cash management policy, the amount of inter-company transfers of funds is determined based on the working capital needs of the subsidiaries and inter-company transactions, and is subject to internal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approval processes and funding arrangements. Our management regularly reviews and monitors the cash flow forecast and working capital needs of our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Advances and loans. </w:t>
      </w:r>
      <w:r>
        <w:rPr>
          <w:rFonts w:ascii="Times New Roman" w:cs="Times New Roman" w:eastAsia="Times New Roman" w:hAnsi="Times New Roman"/>
          <w:sz w:val="18"/>
          <w:szCs w:val="18"/>
          <w:color w:val="auto"/>
        </w:rPr>
        <w:t>In 2023, (i) ECARX Technology Limited repaid US$119.3 million to ECARX Holdings, (ii) ECARX Holdings made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in the principal amount of US$115.0 million to ECARX Group Limited and US$2.7 million to ECARX Technology Limited, (iii) ECARX Group</w:t>
      </w:r>
    </w:p>
    <w:p>
      <w:pPr>
        <w:spacing w:after="0" w:line="234" w:lineRule="auto"/>
        <w:rPr>
          <w:sz w:val="20"/>
          <w:szCs w:val="20"/>
          <w:color w:val="auto"/>
        </w:rPr>
      </w:pPr>
      <w:r>
        <w:rPr>
          <w:rFonts w:ascii="Times New Roman" w:cs="Times New Roman" w:eastAsia="Times New Roman" w:hAnsi="Times New Roman"/>
          <w:sz w:val="18"/>
          <w:szCs w:val="18"/>
          <w:color w:val="auto"/>
        </w:rPr>
        <w:t>Limited repaid US$33.4 million to ECARX Holdings, (iv) ECARX Holdings provided loans in the principal amount of US$15.0 million to ECARX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(Hubei) Tech Co., Ltd. (“ECARX Hubei”), (v) ECARX Technology Limited provided loans in the principal amount of US$0.4 million to ECARX Limited,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been fully repaid, and (vi) ECARX Hubei repaid RMB150.0 million to JICA Intelligent. In 2024, (i) ECARX Technology Limited repaid an</w:t>
      </w:r>
    </w:p>
    <w:p>
      <w:pPr>
        <w:spacing w:after="0" w:line="234" w:lineRule="auto"/>
        <w:rPr>
          <w:sz w:val="20"/>
          <w:szCs w:val="20"/>
          <w:color w:val="auto"/>
        </w:rPr>
      </w:pPr>
      <w:r>
        <w:rPr>
          <w:rFonts w:ascii="Times New Roman" w:cs="Times New Roman" w:eastAsia="Times New Roman" w:hAnsi="Times New Roman"/>
          <w:sz w:val="18"/>
          <w:szCs w:val="18"/>
          <w:color w:val="auto"/>
        </w:rPr>
        <w:t>amount of US$20 million to ECARX Holdings (ii) ECARX Holdings made advances in the principal amount of US$12.5 million to ECARX Group</w:t>
      </w:r>
    </w:p>
    <w:p>
      <w:pPr>
        <w:spacing w:after="0" w:line="219" w:lineRule="auto"/>
        <w:rPr>
          <w:sz w:val="20"/>
          <w:szCs w:val="20"/>
          <w:color w:val="auto"/>
        </w:rPr>
      </w:pPr>
      <w:r>
        <w:rPr>
          <w:rFonts w:ascii="Times New Roman" w:cs="Times New Roman" w:eastAsia="Times New Roman" w:hAnsi="Times New Roman"/>
          <w:sz w:val="18"/>
          <w:szCs w:val="18"/>
          <w:color w:val="auto"/>
        </w:rPr>
        <w:t>Limited and US$1.0 million to ECARX Technology Limited (iii) ECARX Group Limited repaid US$1.7 million to ECARX Holdings, and (iv) ECARX</w:t>
      </w:r>
    </w:p>
    <w:p>
      <w:pPr>
        <w:spacing w:after="0" w:line="235" w:lineRule="auto"/>
        <w:rPr>
          <w:sz w:val="20"/>
          <w:szCs w:val="20"/>
          <w:color w:val="auto"/>
        </w:rPr>
      </w:pPr>
      <w:r>
        <w:rPr>
          <w:rFonts w:ascii="Times New Roman" w:cs="Times New Roman" w:eastAsia="Times New Roman" w:hAnsi="Times New Roman"/>
          <w:sz w:val="18"/>
          <w:szCs w:val="18"/>
          <w:color w:val="auto"/>
        </w:rPr>
        <w:t>Hubei provided loans in the principal amount of RMB5.0 million to Suzhou Photon-Matrix Optoelectronics Technology Co., Ltd. In 2025, (i) ECARX</w:t>
      </w:r>
    </w:p>
    <w:p>
      <w:pPr>
        <w:spacing w:after="0" w:line="235" w:lineRule="auto"/>
        <w:rPr>
          <w:sz w:val="20"/>
          <w:szCs w:val="20"/>
          <w:color w:val="auto"/>
        </w:rPr>
      </w:pPr>
      <w:r>
        <w:rPr>
          <w:rFonts w:ascii="Times New Roman" w:cs="Times New Roman" w:eastAsia="Times New Roman" w:hAnsi="Times New Roman"/>
          <w:sz w:val="18"/>
          <w:szCs w:val="18"/>
          <w:color w:val="auto"/>
        </w:rPr>
        <w:t>Technology Limited repaid an amount of US$29.6 million to ECARX Holdings Inc., (ii) ECARX Holdings made advances in the principal amount of</w:t>
      </w:r>
    </w:p>
    <w:p>
      <w:pPr>
        <w:spacing w:after="0"/>
        <w:rPr>
          <w:sz w:val="20"/>
          <w:szCs w:val="20"/>
          <w:color w:val="auto"/>
        </w:rPr>
      </w:pPr>
      <w:r>
        <w:rPr>
          <w:rFonts w:ascii="Times New Roman" w:cs="Times New Roman" w:eastAsia="Times New Roman" w:hAnsi="Times New Roman"/>
          <w:sz w:val="17"/>
          <w:szCs w:val="17"/>
          <w:color w:val="auto"/>
        </w:rPr>
        <w:t>US$42.0 million to ECARX Group Limited and US$62.4 million to ECARX Technology Limited, (iii) Future Magic Capital Limited made advances 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US$17.0 million to ECARX Holdings Inc., (iv) ECARX Technology Limited made advances in the principal amount of US$0.7</w:t>
      </w:r>
    </w:p>
    <w:p>
      <w:pPr>
        <w:spacing w:after="0" w:line="234" w:lineRule="auto"/>
        <w:rPr>
          <w:sz w:val="20"/>
          <w:szCs w:val="20"/>
          <w:color w:val="auto"/>
        </w:rPr>
      </w:pPr>
      <w:r>
        <w:rPr>
          <w:rFonts w:ascii="Times New Roman" w:cs="Times New Roman" w:eastAsia="Times New Roman" w:hAnsi="Times New Roman"/>
          <w:sz w:val="18"/>
          <w:szCs w:val="18"/>
          <w:color w:val="auto"/>
        </w:rPr>
        <w:t>million to ECARX Technology Pte. Ltd., (v) ECARX (Shanghai) Smart Tech Co., Ltd. provided loans in the principal amount of RMB82.5 million to</w:t>
      </w:r>
    </w:p>
    <w:p>
      <w:pPr>
        <w:spacing w:after="0" w:line="235" w:lineRule="auto"/>
        <w:rPr>
          <w:sz w:val="20"/>
          <w:szCs w:val="20"/>
          <w:color w:val="auto"/>
        </w:rPr>
      </w:pPr>
      <w:r>
        <w:rPr>
          <w:rFonts w:ascii="Times New Roman" w:cs="Times New Roman" w:eastAsia="Times New Roman" w:hAnsi="Times New Roman"/>
          <w:sz w:val="18"/>
          <w:szCs w:val="18"/>
          <w:color w:val="auto"/>
        </w:rPr>
        <w:t>ECARX Technology Limited and RMB200.0 million to ECARX Group Limited, (vi) ECARX Group Limited repaid an amount of RMB334.4 million to</w:t>
      </w:r>
    </w:p>
    <w:p>
      <w:pPr>
        <w:spacing w:after="0" w:line="235" w:lineRule="auto"/>
        <w:rPr>
          <w:sz w:val="20"/>
          <w:szCs w:val="20"/>
          <w:color w:val="auto"/>
        </w:rPr>
      </w:pPr>
      <w:r>
        <w:rPr>
          <w:rFonts w:ascii="Times New Roman" w:cs="Times New Roman" w:eastAsia="Times New Roman" w:hAnsi="Times New Roman"/>
          <w:sz w:val="18"/>
          <w:szCs w:val="18"/>
          <w:color w:val="auto"/>
        </w:rPr>
        <w:t>ECARX (Shanghai) Smart Tech Co., Ltd., (vii) ECARX Hubei repaid an amount of US$46.8 million to Ecarx Holding Inc., (viii) ECARX Technology</w:t>
      </w:r>
    </w:p>
    <w:p>
      <w:pPr>
        <w:spacing w:after="0" w:line="235" w:lineRule="auto"/>
        <w:rPr>
          <w:sz w:val="20"/>
          <w:szCs w:val="20"/>
          <w:color w:val="auto"/>
        </w:rPr>
      </w:pPr>
      <w:r>
        <w:rPr>
          <w:rFonts w:ascii="Times New Roman" w:cs="Times New Roman" w:eastAsia="Times New Roman" w:hAnsi="Times New Roman"/>
          <w:sz w:val="18"/>
          <w:szCs w:val="18"/>
          <w:color w:val="auto"/>
        </w:rPr>
        <w:t>Limited provided loans in the principal amount of GBP0.6million to ECARX Limited and then ECARX Limited repaid GBP0.6 million to ECARX</w:t>
      </w:r>
    </w:p>
    <w:p>
      <w:pPr>
        <w:spacing w:after="0" w:line="235" w:lineRule="auto"/>
        <w:rPr>
          <w:sz w:val="20"/>
          <w:szCs w:val="20"/>
          <w:color w:val="auto"/>
        </w:rPr>
      </w:pPr>
      <w:r>
        <w:rPr>
          <w:rFonts w:ascii="Times New Roman" w:cs="Times New Roman" w:eastAsia="Times New Roman" w:hAnsi="Times New Roman"/>
          <w:sz w:val="18"/>
          <w:szCs w:val="18"/>
          <w:color w:val="auto"/>
        </w:rPr>
        <w:t>Technology Limited, (ix) HF Tech Europe AB provided loans in the principal amount of GBP4.8 million to Ecarx Limited, and (x) Ecarx Sweden AB</w:t>
      </w:r>
    </w:p>
    <w:p>
      <w:pPr>
        <w:spacing w:after="0"/>
        <w:rPr>
          <w:sz w:val="20"/>
          <w:szCs w:val="20"/>
          <w:color w:val="auto"/>
        </w:rPr>
      </w:pPr>
      <w:r>
        <w:rPr>
          <w:rFonts w:ascii="Times New Roman" w:cs="Times New Roman" w:eastAsia="Times New Roman" w:hAnsi="Times New Roman"/>
          <w:sz w:val="18"/>
          <w:szCs w:val="18"/>
          <w:color w:val="auto"/>
        </w:rPr>
        <w:t>provided loans to Ecarx Limited in the principal amount of GBP3.5 million which was repaid during the year.</w:t>
      </w:r>
    </w:p>
    <w:p>
      <w:pPr>
        <w:spacing w:after="0" w:line="21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Capital contribution. </w:t>
      </w:r>
      <w:r>
        <w:rPr>
          <w:rFonts w:ascii="Times New Roman" w:cs="Times New Roman" w:eastAsia="Times New Roman" w:hAnsi="Times New Roman"/>
          <w:sz w:val="18"/>
          <w:szCs w:val="18"/>
          <w:color w:val="auto"/>
        </w:rPr>
        <w:t>In 2023, (i) ECARX Group Limited made capital contribution of US $100.0 million to ECARX Technology Limited;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ECARX Technology Limited made capital contribution of US$60.0 million to ECARX Hubei, and US$31.5 million to its subsidiary, ECARX Limited; (iii) ECARX Hubei made capital contribution of RMB51.0 million to its subsidiary, JICA Intelligent; (iv) ECARX Holdings converted its GBP3.0 million loan to ECARX Limited into equity; and (v) ECARX Limited made capital contribution of US$2.7 million to ECARX Americas Inc. In 2024, (i) ECARX Group Limited made capital contribution of US$39.6 million to ECARX Technology Limited; (ii) ECARX Technology Limited made capital contribution of GBP19.3 million and US$0.4 million to its subsidiary ECARX Limited, and US$10.0 million to its subsidiary, ECARX (Zhejiang) Technology Co., Ltd.; (iii) ECARX Hubei made capital contribution of RMB125.0 million to its subsidiary, JICA Intelligent; and (iv) ECARX Limited made capital contribution of US$5.9 million to its subsidiary, ECARX Americas Inc. In 2025, (i) ECARX Group Limited made capital contribution of US$23.3 million to ECARX Pte. Ltd.; (ii) ECARX Technology Limited made capital contribution of GBP12.0 million to ECARX Limited, and RMB50.0 million to ECARX Hubei; (iii) ECARX Hubei made capital contribution of RMB25.0 million to JICA Intelligent, and RMB10.0 million to Ecarx(Beijing) Tech Co., Ltd.; (iv) ECARX Limited made capital contribution of EUR1.1million to ECARX GmbH; (v) ECARX Technology Pte. Ltd. made capital contribution of GBP7.9 million to ECARX Limited; (vi) ECARX Pte. Ltd. made capital contribution of US$22.9 million to ECARX Technology Pte. Ltd.; (vii) ECARX Technology Pte. Ltd. made capital contribution of US$0.7 million to ECARX SDN. BHD.; and (viii) ECARX Limited made capital contribution of US$5.2 million to ECARX Americas Inc. and EUR10.6 million to ECARX GmbH.</w:t>
      </w:r>
    </w:p>
    <w:p>
      <w:pPr>
        <w:spacing w:after="0" w:line="217"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We, our subsidiaries, and, for the periods ended prior to the Restructuring, the former VIEs, have not declared or paid dividends or made any distributions as of the date of this annual report. We do not intend to declare dividends or make distributions in the near future. Any determination to pay dividends in the future will be at the discretion of our board of directors.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various restrictions on inter-company fund transfers and foreign exchange control.</w:t>
      </w:r>
    </w:p>
    <w:p>
      <w:pPr>
        <w:spacing w:after="0" w:line="23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ECARX Holdings is a holding company and may rely on dividends and other distributions on equity paid by our subsidiaries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financing requirements. Restrictions on the ability of our mainland China subsidiaries to pay dividends to an offshore entity primarily include: (i) our mainland China subsidiaries may pay dividends only out of their accumulated after-tax profits upon satisfaction of applicable statutory conditions and procedures, if any, determined in accordance with accounting standards and regulations in China; (ii) each of our mainland China subsidiaries is required to set aside at least 10% of its after-tax profits each year, if any, to fund certain reserve funds until the total amount set aside reaches 50% of its registered capital; (iii) our mainland China subsidiaries are required to complete certain procedural requirements related to foreign exchange control in order to make dividend payments in foreign currencies; and (iv) a withholding tax, at the rate of 10% or lower, is payable by our mainland China subsidiary upon dividend remittance. Such restrictions could have a material and adverse effect on the ability of ECARX Holdings to distribute profits to its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18"/>
          <w:szCs w:val="18"/>
          <w:color w:val="auto"/>
        </w:rPr>
        <w:t>shareholders. Under Cayman Islands law, while there are no exchange control regulations or currency restrictions, ECARX Holdings is also subject to certain restrictions under Cayman Islands law on dividend distribution to its shareholders, namely that it may only pay dividends out of profits or share premium account, and provided always that in no circumstances may a dividend be paid if this would result in ECARX Holdings being unable to pay its debts as they fall due in the ordinary course of business.</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Capital expenses. </w:t>
      </w:r>
      <w:r>
        <w:rPr>
          <w:rFonts w:ascii="Times New Roman" w:cs="Times New Roman" w:eastAsia="Times New Roman" w:hAnsi="Times New Roman"/>
          <w:sz w:val="18"/>
          <w:szCs w:val="18"/>
          <w:color w:val="auto"/>
        </w:rPr>
        <w:t>Approval from or registration with appropriate government authorities is required where Renminbi is to be converted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and remitted out of mainland China to pay capital expenses, such as the repayment of loans denominated in foreign currencies. As a result, our mainland China subsidiaries are required to obtain approval from the State Administration of Foreign Exchange, or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211"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Shareholder loans and capital contributions. </w:t>
      </w:r>
      <w:r>
        <w:rPr>
          <w:rFonts w:ascii="Times New Roman" w:cs="Times New Roman" w:eastAsia="Times New Roman" w:hAnsi="Times New Roman"/>
          <w:sz w:val="18"/>
          <w:szCs w:val="18"/>
          <w:color w:val="auto"/>
        </w:rPr>
        <w:t>Loans by us to our mainland China subsidiaries to finance their operations shall not exceed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limits and must be registered with the local counterpart of SAFE, and any capital contribution from us to our mainland China subsidiaries is required to be registered with the competent government authorities in mainland China.</w:t>
      </w:r>
    </w:p>
    <w:p>
      <w:pPr>
        <w:spacing w:after="0" w:line="18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440" w:hanging="652"/>
        <w:spacing w:after="0" w:line="530" w:lineRule="auto"/>
        <w:tabs>
          <w:tab w:leader="none" w:pos="32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660" w:hanging="652"/>
        <w:spacing w:after="0" w:line="500"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2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and face significant challenges in a fast-developing industry;</w:t>
      </w:r>
    </w:p>
    <w:p>
      <w:pPr>
        <w:spacing w:after="0" w:line="63"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do not effectively address the evolution of the automotive industry or automotive intelligence technologies, our business could be adversely affected;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automobile sales and market demand can adversely affect our business;</w:t>
      </w:r>
    </w:p>
    <w:p>
      <w:pPr>
        <w:spacing w:after="0" w:line="63" w:lineRule="exact"/>
        <w:rPr>
          <w:rFonts w:ascii="Times New Roman" w:cs="Times New Roman" w:eastAsia="Times New Roman" w:hAnsi="Times New Roman"/>
          <w:sz w:val="18"/>
          <w:szCs w:val="18"/>
          <w:color w:val="auto"/>
        </w:rPr>
      </w:pPr>
    </w:p>
    <w:p>
      <w:pPr>
        <w:ind w:left="980" w:right="62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components or the underlying raw materials used in our products may materially and adversely affect our business and profitability;</w:t>
      </w:r>
    </w:p>
    <w:p>
      <w:pPr>
        <w:spacing w:after="0" w:line="1"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market share or changes in the product mix offered by our customers could materially and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intelligence industry is highly competitive, and we may not be successful in competing in this industry;</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negative net cash flows from operations in the past and have not been profitable, which may continue in the future. A note regarding our ability to continue as a going concern has been included in our consolidated financial statements;</w:t>
      </w:r>
    </w:p>
    <w:p>
      <w:pPr>
        <w:spacing w:after="0" w:line="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concentrated customer base with a limited number of key customers, particularly including certain of our related parties such as Geely Holding’s subsidiaries. The loss of one or more of our key customers, or a failure to renew our agreements with one or more of our key customers, could adversely affect our results of operations and ability to market our products and services;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uncertainties associated with international operations, which may harm our business;</w:t>
      </w:r>
    </w:p>
    <w:p>
      <w:pPr>
        <w:spacing w:after="0" w:line="63" w:lineRule="exact"/>
        <w:rPr>
          <w:rFonts w:ascii="Times New Roman" w:cs="Times New Roman" w:eastAsia="Times New Roman" w:hAnsi="Times New Roman"/>
          <w:sz w:val="18"/>
          <w:szCs w:val="18"/>
          <w:color w:val="auto"/>
        </w:rPr>
      </w:pPr>
    </w:p>
    <w:p>
      <w:pPr>
        <w:ind w:left="980" w:right="400" w:hanging="324"/>
        <w:spacing w:after="0" w:line="289" w:lineRule="auto"/>
        <w:tabs>
          <w:tab w:leader="none" w:pos="9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automotive intelligence technologies and related hardware and software could have defects, errors, or bugs, undetected or otherwise, which could create safety issues, reduce market adoption, damage our reputation with current or prospective customers, or expose us to product liability and other claims that could materially and adversely affect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right="80" w:hanging="324"/>
        <w:spacing w:after="0" w:line="298" w:lineRule="auto"/>
        <w:tabs>
          <w:tab w:leader="none" w:pos="9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our business partners and other industry participants. Business collaboration with partners is subject to risks, and these relationships may not lead to significant revenue. Any adverse change in our cooperation with our business partners could harm our business;</w:t>
      </w:r>
    </w:p>
    <w:p>
      <w:pPr>
        <w:ind w:left="980" w:right="60" w:hanging="324"/>
        <w:spacing w:after="0" w:line="28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 w:lineRule="exact"/>
        <w:rPr>
          <w:rFonts w:ascii="Times New Roman" w:cs="Times New Roman" w:eastAsia="Times New Roman" w:hAnsi="Times New Roman"/>
          <w:sz w:val="18"/>
          <w:szCs w:val="18"/>
          <w:color w:val="auto"/>
        </w:rPr>
      </w:pPr>
    </w:p>
    <w:p>
      <w:pPr>
        <w:jc w:val="both"/>
        <w:ind w:left="980" w:right="2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potential financial or strategic benefits of business ventures, acquisitions or strategic investments and we may not be able to successfully integrate acquisition targets, which could impact our ability to grow our business, develop new products or sell our products;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material losses and costs as a result of warranty claims, product recalls, and product liabilities that may be brought against us;</w:t>
      </w:r>
    </w:p>
    <w:p>
      <w:pPr>
        <w:spacing w:after="0" w:line="63" w:lineRule="exact"/>
        <w:rPr>
          <w:rFonts w:ascii="Times New Roman" w:cs="Times New Roman" w:eastAsia="Times New Roman" w:hAnsi="Times New Roman"/>
          <w:sz w:val="18"/>
          <w:szCs w:val="18"/>
          <w:color w:val="auto"/>
        </w:rPr>
      </w:pPr>
    </w:p>
    <w:p>
      <w:pPr>
        <w:ind w:left="980" w:right="160" w:hanging="324"/>
        <w:spacing w:after="0" w:line="255"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cybersecurity, privacy, data protection and information security in China and elsewhere. Any privacy or data security breach or any failure to comply with these laws and regulations could damage our reputation and brand, result in negative publicity, legal proceedings, increased cost of operations, warnings, fines, service or business suspension, or otherwise harm our business and results of operations; and</w:t>
      </w:r>
    </w:p>
    <w:p>
      <w:pPr>
        <w:spacing w:after="0" w:line="24" w:lineRule="exact"/>
        <w:rPr>
          <w:rFonts w:ascii="Times New Roman" w:cs="Times New Roman" w:eastAsia="Times New Roman" w:hAnsi="Times New Roman"/>
          <w:sz w:val="18"/>
          <w:szCs w:val="18"/>
          <w:color w:val="auto"/>
        </w:rPr>
      </w:pPr>
    </w:p>
    <w:p>
      <w:pPr>
        <w:ind w:left="980" w:right="60" w:hanging="324"/>
        <w:spacing w:after="0" w:line="234" w:lineRule="auto"/>
        <w:tabs>
          <w:tab w:leader="none" w:pos="97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Heightened tensions in international relations, particularly between the United States and China, may adversely impact our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121" w:lineRule="exact"/>
        <w:rPr>
          <w:sz w:val="20"/>
          <w:szCs w:val="20"/>
          <w:color w:val="auto"/>
        </w:rPr>
      </w:pPr>
    </w:p>
    <w:p>
      <w:pPr>
        <w:ind w:left="980" w:hanging="324"/>
        <w:spacing w:after="0" w:line="253"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ECARX Holdings is not an operating company but a Cayman Islands holding company. We conduct operations through our subsidiaries, with our operations in China currently being conducted by our PRC subsidiaries. This holding company structure involves unique risks to investors. As a holding company, ECARX Holdings may rely on dividends from its subsidiaries for cash requirements, including any payment of dividends to its shareholders. The ability of our subsidiaries to pay dividends or make distributions to ECARX Holdings may be restricted by laws and regulations applicable to them or the debt they incur on their own behalf or the instruments governing their debt. In addition, PRC regulatory authorities could disallow this holding company structure and limit or hinder our ability to conduct our business through, receive dividends or distributions from, or transfer funds to, the operating companies or list on a U.S. or other foreign exchange, which could cause the value of our securities to significantly decline or become worthless. See “Item 3. Key Information – Our Holding Company Structure and China Operations” and “Item 3. Key Information – D. Risk Factors – Risks Relating to Doing Business in China – We may rely on dividends and other distributions on equity paid by our subsidiaries to fund any cash and financing requirements we may have, and any limitation on the ability of our mainland China subsidiaries to make payments to us could have a material and adverse effect on our ability to conduct our business” for details;</w:t>
      </w:r>
    </w:p>
    <w:p>
      <w:pPr>
        <w:spacing w:after="0" w:line="27" w:lineRule="exact"/>
        <w:rPr>
          <w:rFonts w:ascii="Times New Roman" w:cs="Times New Roman" w:eastAsia="Times New Roman" w:hAnsi="Times New Roman"/>
          <w:sz w:val="18"/>
          <w:szCs w:val="18"/>
          <w:color w:val="auto"/>
        </w:rPr>
      </w:pPr>
    </w:p>
    <w:p>
      <w:pPr>
        <w:ind w:left="980" w:right="16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significant oversight and discretion over our business operations, and it may influence on our operations as part of its efforts to enforce PRC law, which could result in a material adverse change in our operations and the value of our securities;</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of China, including those relating to the interpretation and enforcement of PRC laws and regulations and that rules and regulations in China can change quickly with little advance notice, could limit the legal protections available to you and us, hinder our ability and the ability of any holder of our securities to offer or continue to offer such securities, result in a material adverse change to our business operations, and damage our reputation, which would materially and adversely affect our financial condition and results of operations and cause our securities to significantly decline in value or become worthless. See “Item 3. Key Information – D. Risk Factors – Risks Relating to Doing Business in China – Risks and uncertainties regarding the interpretation and enforcement of PRC laws and regulations could limit the legal protections available to you and us, hinder our ability and the ability of any holder of our securities to offer or continue to offer such securities, result in a material adverse change to our business operations, and damage our reputation, which would materially and adversely affect our financial condition and results of operations and cause our securities to significantly decline in value or become worthless” for details;</w:t>
      </w:r>
    </w:p>
    <w:p>
      <w:pPr>
        <w:spacing w:after="0" w:line="32"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and filing with the CSRC or other PRC government authorities may be required in connection with our offerings under PRC law, and, if so required, we cannot predict whether or when we will be able to obtain such approval or complete such filing, and even if we obtain such approval, it could be rescinded. Any failure to or delay in obtaining such approval or complying with such filing requirements in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right="480"/>
        <w:spacing w:after="0" w:line="281" w:lineRule="auto"/>
        <w:rPr>
          <w:sz w:val="20"/>
          <w:szCs w:val="20"/>
          <w:color w:val="auto"/>
        </w:rPr>
      </w:pPr>
      <w:r>
        <w:rPr>
          <w:rFonts w:ascii="Times New Roman" w:cs="Times New Roman" w:eastAsia="Times New Roman" w:hAnsi="Times New Roman"/>
          <w:sz w:val="18"/>
          <w:szCs w:val="18"/>
          <w:color w:val="auto"/>
        </w:rPr>
        <w:t>relation to our offerings, or a rescission of such approval, could subject us to sanctions imposed by the CSRC or other PRC government authorities;</w:t>
      </w:r>
    </w:p>
    <w:p>
      <w:pPr>
        <w:spacing w:after="0" w:line="1" w:lineRule="exact"/>
        <w:rPr>
          <w:sz w:val="20"/>
          <w:szCs w:val="20"/>
          <w:color w:val="auto"/>
        </w:rPr>
      </w:pPr>
    </w:p>
    <w:p>
      <w:pPr>
        <w:ind w:left="980" w:right="160" w:hanging="324"/>
        <w:spacing w:after="0" w:line="298" w:lineRule="auto"/>
        <w:tabs>
          <w:tab w:leader="none" w:pos="9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ind w:left="980" w:right="2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prohibited from trading in the United States under the HFCAA in the future if the PCAOB is unable to inspect or investigate completely auditors located in mainland China and Hong Kong. The delisting of our securities, or the threat of their being delisted, may materially and adversely affect the value of your investment;</w:t>
      </w:r>
    </w:p>
    <w:p>
      <w:pPr>
        <w:spacing w:after="0" w:line="13"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p>
      <w:pPr>
        <w:spacing w:after="0" w:line="13" w:lineRule="exact"/>
        <w:rPr>
          <w:rFonts w:ascii="Times New Roman" w:cs="Times New Roman" w:eastAsia="Times New Roman" w:hAnsi="Times New Roman"/>
          <w:sz w:val="18"/>
          <w:szCs w:val="18"/>
          <w:color w:val="auto"/>
        </w:rPr>
      </w:pPr>
    </w:p>
    <w:p>
      <w:pPr>
        <w:ind w:left="980" w:right="460" w:hanging="324"/>
        <w:spacing w:after="0" w:line="28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certain acquisitions of mainland China companies, which could make it more difficult for us to pursue growth through acquisitions in China; and</w:t>
      </w:r>
    </w:p>
    <w:p>
      <w:pPr>
        <w:spacing w:after="0" w:line="1" w:lineRule="exact"/>
        <w:rPr>
          <w:rFonts w:ascii="Times New Roman" w:cs="Times New Roman" w:eastAsia="Times New Roman" w:hAnsi="Times New Roman"/>
          <w:sz w:val="18"/>
          <w:szCs w:val="18"/>
          <w:color w:val="auto"/>
        </w:rPr>
      </w:pPr>
    </w:p>
    <w:p>
      <w:pPr>
        <w:ind w:left="980" w:right="94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exist with respect to the interpretation and implementation of 2019 PRC Foreign Investment Law and its Implementation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Securities</w:t>
      </w:r>
    </w:p>
    <w:p>
      <w:pPr>
        <w:spacing w:after="0" w:line="6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and the value of our securities may decline;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develop or be sustained, which would adversely affect the liquidity and price of our securities;</w:t>
      </w:r>
    </w:p>
    <w:p>
      <w:pPr>
        <w:spacing w:after="0" w:line="63" w:lineRule="exact"/>
        <w:rPr>
          <w:rFonts w:ascii="Times New Roman" w:cs="Times New Roman" w:eastAsia="Times New Roman" w:hAnsi="Times New Roman"/>
          <w:sz w:val="18"/>
          <w:szCs w:val="18"/>
          <w:color w:val="auto"/>
        </w:rPr>
      </w:pPr>
    </w:p>
    <w:p>
      <w:pPr>
        <w:ind w:left="980" w:right="52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meet the expectations of equity research analysts, if they do not publish research reports about our business or if they issue unfavorable commentary or downgrade our securities, the price of our securities could decline;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our securities in the public market could cause the price of our securities to fall; and</w:t>
      </w:r>
    </w:p>
    <w:p>
      <w:pPr>
        <w:spacing w:after="0" w:line="6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 of Ordinary Shares will result in additional dilution of the percentage ownership of our shareholders and could cause our share price to fall.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limited operating history and face significant challenges in a fast-developing industry.</w:t>
      </w:r>
    </w:p>
    <w:p>
      <w:pPr>
        <w:spacing w:after="0" w:line="22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17"/>
          <w:szCs w:val="17"/>
          <w:color w:val="auto"/>
        </w:rPr>
        <w:t>We commenced operations in 2017. As we have a relatively limited operating history, it is difficult to predict our future revenues and appropriately budget for our expenses, and we may have limited insight into trends that may emerge and affect our business. You should consider our business and prospects in light of the risks and challenges that we face as a new entrant into a fast-developing industry, including with respect to our ability to:</w:t>
      </w:r>
    </w:p>
    <w:p>
      <w:pPr>
        <w:spacing w:after="0" w:line="1"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technologies;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intelligent, reliable, and quality solutions that appeal to customers;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expand, and diversify our customer base;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 cost-effectively;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products and services;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our pricing strategy;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cybersecurity and data security;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operating efficiency;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in our industries;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supply chain effectively; and manage our growth effectively.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financial condition, and results of operations could be materially and adversely affected.</w:t>
      </w:r>
    </w:p>
    <w:p>
      <w:pPr>
        <w:spacing w:after="0" w:line="18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solutions do not effectively address the evolution of the automotive industry or automotive intelligence technologies, our business could be adversely affected.</w:t>
      </w:r>
    </w:p>
    <w:p>
      <w:pPr>
        <w:spacing w:after="0" w:line="17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automotive industry and automotive intelligence technologies are rapidly evolving. Our business and prospects will depend on our ability to identify consumer needs, and to develop, introduce, and achieve market acceptance of our new and enhanced products in a cost-effective manner. We cannot assure you that our products and services will be or will continue to be accepted by the market.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invested and will continue to invest significantly in research and development and we are in the process of developing a portfolio of automotive computing platform, SoC core module, and software solution and products. Our investment in research and development may not result in marketable products or services or may result in products and services that generate less market acceptance and revenues than we anticipate. Although we believe that our technologies and products are promising, we cannot assure you that we can achieve our development goals and successfully commercialize all of these automotive intelligence technologies. In addition, we cannot assure you that, once commercialized, these technologies can stand the test of time.</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confidence and trust of our customers are essential in the success of our automotive intelligence technologies. Customers will be less likely to purchase our products if they are not convinced of the technical or functional superiority of our technologies. Any defects in or significant malfunctioning of our automotive intelligence products and services, or any negative perceptions of such, with or without any grounds, may weaken such confidence and trust in us, which may materially and adversely affect our reputation, financial condition, and results of operations. Similarly, suppliers and other third parties will be less likely to invest time and resources in developing business relationships with us if they are not convinced that our business or our technologies will succeed.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automobile sales and market demand can adversely affect our business.</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Our business is directly related to automobile sales and production by automotive OEMs. Automobile sales and production could sometimes be highly cyclical and, in addition to general economic conditions, also depend on other factors such as consumer confidence and preferences. Lower automobile sales would be expected to result in substantially all of our automotive OEM customers lowering vehicle production schedules, which has a direct impact on our earnings and cash flows. In addition, automobile sales and production can be affected by labor relations issues, regulatory requirements, trade agreements, the availability of consumer financing, and other factors. Economic declines that result in a significant reduction in automobile sales and production by automotive OEMs could materially and adversely affect our business, financial condition, and results of operations.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demand for our products and services is also dependent on consumers’ demand for and adoption of intelligent vehicles, in general. The market for intelligent vehicles is still rapidly evolving, characterized by rapidly changing technologies, intense competition, evolving government regulation and industry standards, and changing consumer demands and behaviors. If the market for intelligent vehicles does not develop as we expect or develops more slowly than we expect, our business, financial condition, results of operations, and prospects will be affected.</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there has also been a change in consumer preferences favoring mobility on demand services, such as car- and ride-sharing, as opposed to automobile ownership, which may result in a long-term reduction in the number of vehicles per capita.</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supply of components or the underlying raw materials used in our products may materially and adversely affect our business and profitability.</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hardware products are comprised of electronic and mechanical components sourced from various third-party suppliers. A significant disruption in the supply of these components or the underlying raw materials, such as metals, petroleum-based resins, and chemicals, for any reason could impede production and delivery levels, which could materially increase our operating costs and materially decrease our profit margins.</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Such supply chain disruptions could be caused by a range of incidents, such as total or partial shutdown of our suppliers’ plants or critical manufacturing lines due to strikes, mechanical breakdowns, electrical outages, fires, explosions,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or political upheaval, as well as logistical complications due to weather conditions, natural disasters, nuclear accidents, mechanical failures, delayed customs clearance, or pandemics. In particular, following the disruptions to semiconductor manufacturers due to the COVID-19 pandemic and an increase in global demand for personal computers for work-from-home economies, there is an ongoing global chip shortage, which would materially and adversely affect the industries we operate in. Any of such supply chain disruptions may force us to suspend or cease production, even for a prolonged period of time.</w:t>
      </w:r>
    </w:p>
    <w:p>
      <w:pPr>
        <w:spacing w:after="0" w:line="16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suppliers could result in quality issues with our products and hence force us to delay production or deliveries and compromise our brand image and results of operations. In addition, we cannot assure you that the suppliers will comply with ethical business practices, such as environmental responsibilities, fair wage practices and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supply chain disruptions, whether or not involving a single-source supplier, could require us to make significant additional efforts until an alternative supplier is fully qualified by us or is otherwise able to resume the supply. We cannot assure you that we would be able to successfully retain alternative suppliers or supplies on a timely basis, on acceptable terms, or at all. Moreover, if we experience a significant increase in demand or need to replace our existing suppliers, we cannot assure you that additional supplies will be available when required on terms that are favorable to us, or at all, or that any supplier would allocate sufficient supplies to us in order to meet our requirements or fill our orders in a timely manner. Any of the foregoing could materially and adversely affect our business, financial condition, results of operations, and prospects.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market share or changes in the product mix offered by our customers could materially and adversely affect our business,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depend on the continued growth, viability, and financial stability of our customers. Our customers primarily include automotive OEMs and tier 1 automotive suppliers. The automotive industry is subject to rapid technological change, vigorous competition, short product life cycles, and cyclical consumer demand patterns and industry consolidation. When our customers are adversely affected by these factors, we may be similarly affected to the extent that our customers reduce the volume of orders for our products and services. As a result of changes affecting our customers, sales mix can shift, which may have either favorable or unfavorable impact on our revenues. For example, a shift in sales demand favoring a particular automotive OEM’s vehicle model for which we do not have a supply contract may adversely affect our business. A shift in regional sales demand toward certain markets could adversely affect the sales of those of our customers that have a low market share in those regions, which in turn could materially and adversely affect our business.</w:t>
      </w:r>
    </w:p>
    <w:p>
      <w:pPr>
        <w:spacing w:after="0" w:line="1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mix of vehicle offerings by our automotive OEM customers, which can be affected by industry consolidation, also could affect our business. Any merger between major automotive OEMs may result in the discontinuation of certain major vehicle brands previously marketed under separate companies, which may materially and adversely affect our financial condition and results of operations. In addition, a decrease in consumer demand for specific types of vehicles where we have traditionally supplied significantly could materially and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intelligence industry is highly competitive, and we may not be successful in competing in this industry.</w:t>
      </w:r>
    </w:p>
    <w:p>
      <w:pPr>
        <w:spacing w:after="0" w:line="22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automotive intelligence market is highly competitive. We have strategically entered into this market and we expect this segment to become more competitive in the future as more players make their entrance. Competition is based primarily on technology, innovation, quality, delivery, and price.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 We cannot assure you that our products and services will be able to compete successfully with those of our existing and any new competitors. If we fail to compete successfully, our prospects, results of operations, and financial condition could be adversely affected.</w:t>
      </w:r>
    </w:p>
    <w:p>
      <w:pPr>
        <w:spacing w:after="0" w:line="173"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expect competition to intensify in the future in light of the increased demand for automotive intelligence technologies, the continuing globalization, and the consolidation in the automotive industry worldwide. Our future success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will depend on our ability to develop superior advanced technology and to maintain our competitive position with respect to our technological advances over our competitors. Furthermore, the rapidly evolving nature of the markets in which we compete has attracted, and may continue to attract, new entrants, particularly in areas of evolving automotive technologies such as computing platform technologies and advanced driver-assistance systems, which have attracted new entrants from outside the traditional automotive industry, and any of these competitors may develop and introduce technologies that gain greater customer or consumer acceptance, which could adversely affect our future growth.</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increased competition may lead to lower unit sales and increased inventory, which may in turn result in downward price pressure and adversely affect our business, financial condition, operating results, and prospects. Therefore, the ability to stay ahead of our competitors will be fundamental to our future success. Our competitors may foresee the course of market development more accurately than us, develop products and services that are superior to ours, have the ability to produce similar products at a lower cost than us, adapt more quickly than us to new technologies or evolving customer requirements, or develop or introduce new products or solutions before we do, particularly related to potential transformative technologies such as automotive central computing platform solutions and advanced driver-assistance systems. As a result, our products and services may not be able to compete successfully with those of our competitors. These trends may adversely affect our sales as well as the profit margins on our offerings. If we do not continue to innovate to develop or acquire new and compelling products that capitalize upon new technologies, this could have a material adverse impact on our results of operations.</w:t>
      </w:r>
    </w:p>
    <w:p>
      <w:pPr>
        <w:spacing w:after="0" w:line="21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had negative net cash flows from operations in the past and have not been profitable, which may continue in the future. A note regarding our ability to continue as a going concern has been included in our consolidated financial statements.</w:t>
      </w:r>
    </w:p>
    <w:p>
      <w:pPr>
        <w:spacing w:after="0" w:line="19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incurred net losses of US$143.9 million, US$137.8 million and US$68.9 million in 2023, 2024 and 2025, respectively, and we have not been profitable since our inception. In addition, we had negative cash flows from operating activities of US$172.4 million, US$60.0 million and US$94.4 million in 2023, 2024 and 2025, respectively. We have made significant upfront investments in research and development, service network, and sales and marketing to rapidly develop and expand our business. We had net current liability of US$339.8 million as of December 31, 2025. We expect to continue to invest significantly in these areas to establish and expand our business, and these investments may not result in an increase in revenue or positive cash flow on a timely basis, or at all.</w:t>
      </w:r>
    </w:p>
    <w:p>
      <w:pPr>
        <w:spacing w:after="0" w:line="1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generate sufficient revenues and we may incur substantial losses for a number of reasons, including lack of demand for our products and services, increasing competition, challenging macro-economic environment, as well as other risks discussed herein, and we may incur unforeseen expenses, or encounter difficulties, complications, or delays in generating revenue or achieving profitability. If we are unable to achieve profitability, we may have to reduce the scale of our operations, which may impede our business growth and adversely affect our financial condition and results of operations.</w:t>
      </w:r>
    </w:p>
    <w:p>
      <w:pPr>
        <w:spacing w:after="0" w:line="18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addition, our continuous operation depends on our capability to obtain sufficient external equity or debt financing. Our recurring losses from operations, net cash used in operating activities and net current liabilities raise substantial doubt about our ability to continue as a going concern. Our financial statements contain a note regarding our ability to continue as a going concern, which could prevent us from obtaining new financing on reasonable terms or at all. Please refer to Note 2(a) of the audited financial statements included in this annual report for more information. If we do not succeed in obtaining sufficient external equity or debt financing, we may need to curtail our operations, which could adversely affect our business, results of operations, financial position, and cash flows.</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concentrated customer base with a limited number of key customers, particularly including certain of our related parties such as Geely Holding’s subsidiaries. The loss of one or more of our key customers, or a failure to renew our agreements with one or more of our key customers, could adversely affect our results of operations and ability to market our products and services.</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revenue from a limited number of key customers, particularly including certain of our related parties such as Geely Holding’s subsidiaries. Although we are expanding and diversifying our customer base, we may continue to have a concentrated customer base. In particular, Geely Holding and its subsidiaries have and are expected to continue to account for a substantial portion of our revenues. For the years ended December 31, 2023, 2024, and 2025, sales to Geely Holding and its subsidiaries (which, for the avoidance of doubt, exclude sales of SoC Core Modules or software licenses by us to third party customers which are then integrated into their infotainment and cockpit products and sold by such third party customers to Geely Holding and its subsidiaries) accounted for 78.5%, 81.8%</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68.1% of our total revenues, respectively. The agreements between us and Geely Holding’s subsidiaries are described in more details in this annual report under “Item 7. Major Shareholders and Related Party Transactions—B. Related Person Transactions.”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maintained and will continue to maintain a close business relationship with Geely Holding and its subsidiaries. If we fail to continue our cooperation with Geely Holding, or if Geely Holding determines to conduct its business in a way that is not aligned with our business interests, or to take other actions that are detrimental to our interests, we will need to enter into renegotiation with Geely Holding relating to our partnership and to secure alternative and comparable business partners, which may be costly, time-consuming, and disruptive to our operations and financial performance. As a result, our business and operations could be severely disrupted, which could materially and adversely affect our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data, projections, and estimates are inherently uncertain and subject to change.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Industry data and projections are inherently uncertain and subject to change. There can be no assurance that our industries will be as large as we anticipate or that projected growth will occur or continue. In addition, underlying market conditions are subject to change based on economic conditions, consumer preferences, and other factors including those that are beyond our control. We have provided projections and forecasts in the past. Our projected financial and operating information relies in large part upon variables, assumptions, and analyses developed by our management and only reflects estimates of future performance at the time such projection is made, which are subject to the need for periodic revision based on actual occurrence and business developments and may prove to be incorrect or inaccurate. The forecasts and projections also reflect assumptions as to certain business decisions that are subject to change. Multiple factors have impacted our business recently and, as a result of these factors, certain of the assumptions and estimates underlying our prior forecasts may be subject to further adjustments. As a result, our actual operating results may differ materially and adversely from those forecasted or projected and investors should not place any reliance on those forecasts or projections.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international operations and expansion, which may harm our business.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conduct our business worldwide and we have offices in various countries. One of our key business strategies is to pursue international expansion of our business operations and market our products in multiple jurisdictions. We have established our international operations office in London and research and development and deployment capabilities in Europe and Southeast Asia.</w:t>
      </w:r>
    </w:p>
    <w:p>
      <w:pPr>
        <w:spacing w:after="0" w:line="176"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As a result, our business is and we expect that our business will continue to be subject to a variety of risks associated with doing business internationally, including an increase in our expenses and diversion of management’s attention from other aspects of our business. Accordingly, our business and financial results in the future could be adversely affected due to a variety of factors, including:</w:t>
      </w:r>
    </w:p>
    <w:p>
      <w:pPr>
        <w:spacing w:after="0" w:line="14"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 including changes in tax, data security, and privacy laws;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standards with respect to protection of intellectual property and employment practices;</w:t>
      </w:r>
    </w:p>
    <w:p>
      <w:pPr>
        <w:spacing w:after="0" w:line="63" w:lineRule="exact"/>
        <w:rPr>
          <w:rFonts w:ascii="Times New Roman" w:cs="Times New Roman" w:eastAsia="Times New Roman" w:hAnsi="Times New Roman"/>
          <w:sz w:val="18"/>
          <w:szCs w:val="18"/>
          <w:color w:val="auto"/>
        </w:rPr>
      </w:pPr>
    </w:p>
    <w:p>
      <w:pPr>
        <w:ind w:left="980" w:right="400" w:hanging="324"/>
        <w:spacing w:after="0" w:line="28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controls and restrictions, including deemed export restrictions, tariffs, quotas and other trade barriers and restrictions;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 and increased costs due to imposition of climate change regulations, such as carbon taxes, fuel or energy taxes, and pollution limits.</w:t>
      </w:r>
    </w:p>
    <w:p>
      <w:pPr>
        <w:spacing w:after="0" w:line="14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addition, we may be subject to increased regulatory risks and local competition in various jurisdictions where we plan to expand operations but has limited operating experience. Such increased regulatory burden and competition may limit the available market for our products and services and increase the costs associated with marketing the products and services where we are able to offer our products. If we are unable to manage the complexity of global operations successfully, or fail to comply with any of the regulations in other jurisdictions, our financial performance and operating results could suffer.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Currently, we are working to obtain relevant regulatory determination in the United States to engage with U.S. automakers and further expand our addressable market. To this end, we may be required by the regulators or we may volunteer to alter our current business model, operational and capital structures, shareholder composition and management. Any of these changes could be capital-intensive, time-consuming, and disruptive to our operations and could materially and adversely affect our growth prospects, financial condition, and results of operations. Further, there is no assurance that we can expand our business, increase our revenue and achieve other intended benefits once the transition is complete.</w:t>
      </w:r>
    </w:p>
    <w:p>
      <w:pPr>
        <w:spacing w:after="0" w:line="194"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automotive intelligence technologies and related hardware and software could have defects, errors, or bugs, undetected or otherwise, which could create safety issues, reduce market adoption, damage our reputation with current or prospective customers, or expose us to product liability and other claims that could materially and adversely affect our business, financial condition, and results of operations.</w:t>
      </w:r>
    </w:p>
    <w:p>
      <w:pPr>
        <w:spacing w:after="0" w:line="17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Our automotive intelligence technologies are highly technical and complex, and our products and services built upon such technologies have in the past and may in the future experience defects, errors, or bugs at various stages of their usage and development. In addition, there may be undetected errors or defects especially as we introduce new products or release new versions. Defects, errors, or bugs in our products may only be discovered after they have been tested, commercialized, and deployed, and in that case, we may incur significant additional development costs and product recall, repair, or replacement costs.</w:t>
      </w:r>
    </w:p>
    <w:p>
      <w:pPr>
        <w:spacing w:after="0" w:line="18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face an inherent business risk of exposure to warranty claims and product liability in the event that our products fail to perform as expected and, in the case of product liability, such failure of our products results in bodily injury and/or property damage. If flaws in either the design or manufacture of our products were to occur, we could experience a rate of failure in our products that could result in significant delays in shipment and product re-work or replacement costs. We may also not be able to correct problems to our customers’ and users’ satisfaction in a timely manner. Although we engage in extensive product quality programs and processes, these may not be sufficient to avoid product failures, which could cause us to:</w:t>
      </w:r>
    </w:p>
    <w:p>
      <w:pPr>
        <w:spacing w:after="0" w:line="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net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such as warranty expense and costs associated with customer support;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cancellations or rescheduling of orders for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increased product returns or discounts;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our reputation,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which could negatively affect our business, financial condition and results of operations.</w:t>
      </w:r>
    </w:p>
    <w:p>
      <w:pPr>
        <w:spacing w:after="0" w:line="20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our business partners and other industry participants. Business collaboration with partners is subject to risks, and these relationships may not lead to significant revenue. Any adverse change in our cooperation with our business partners could harm our business.</w:t>
      </w:r>
    </w:p>
    <w:p>
      <w:pPr>
        <w:spacing w:after="0" w:line="17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alliances and partnerships with other companies in various industries to help us enhance our technologies and commercialize our products. In addition, we need to continue to identify and negotiate for opportunities to collaborate with other industry participants, such as those who can provide key technology solutions, manufacturing and distribution services. If we are unable to maintain the existing relationships with our business partners, or if we fail to identify and negotiate additional relationships that are essential to our future expansion or success at attractive terms or at all, we may incur increased costs to develop and provide these capabilities on our own, and our business and operating results could be adversely affected.</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Collaboration with third parties is subject to challenges and risks, some of which are beyond our control. For example, certain partnership agreements grant our partner or us the right to terminate such agreements for cause or without cause, including in some cases by paying a termination for convenience fee. In addition, such agreements have in the past and may in the future contain certain exclusivity provisions which, if triggered, could preclude us from working with other businesses with superior technologies or with whom we may prefer to partner with for other reasons.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could experience delays in the development or delivery of our products to the extent our partners do not meet agreed upon timelines or experience capacity constraints. We could also experience disagreement in budget or funding for any joint development project. There is also a risk of potential disputes with partners in the future, including with respect to intellectual property rights. Moreover, if our existing partner agreements were to be terminated, we may be unable to timely find alternative agreements on terms and conditions acceptable to us. Any of the foregoing could adversely affect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will need significant capital to, among other things, conduct research and development, expand our production capacity, and roll out our new and enhanced products and services. As we ramp up our operations, we may also require significant capital to maintain our property, plant, and equipment and such costs may be greater than what we currently anticipate. We expect that our level of capital expenditures will be significantly affected by demand for our products and services. The fact that we have a limited operating history means we have limited historical data to project the demand for our products and services in the future. As a result, our future capital requirements may be uncertain and actual capital requirements may be different from what we currently anticipate. The feasibility of our plan is contingent upon many factors outside our control. Our success is dependent upon our ability to finance our business operations and we will need to seek equity or debt financing for our cash requirements to continue our activities.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or on commercially acceptable terms, we may have to significantly reduce our spending, delay or cancel our planned activities, or substantially change our corporate structure. Further, if we are unable to obtain funding in a timely manner, we may not be able to meet our payment obligations under existing or future credit facilities and we may be in default under the agreement governing such indebtedness, which in turn may constitute a default under agreements governing our other indebtedness.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issuance of additional equity or equity-linked securities could dilute our shareholders’ interests. The incurrence of indebtedness would result in an increase in debt service obligations and could result in operating and financing covenants that would restrict our operations or our ability to pay dividends to our shareholders.</w:t>
      </w:r>
    </w:p>
    <w:p>
      <w:pPr>
        <w:spacing w:after="0" w:line="162"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involved from time to time in legal proceedings and commercial or contractual disputes, which could have an adverse impact on our profitability and consolidated financial position.</w:t>
      </w:r>
    </w:p>
    <w:p>
      <w:pPr>
        <w:spacing w:after="0" w:line="17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These are typically claims that arise in the normal course of business including, without limitation, commercial or contractual disputes, including warranty claims and other disputes with customers and suppliers; intellectual property matters; personal injury claims; environmental, health and safety issues; tax matters; and employment matters. The final amounts required to resolve these matters could differ materially from our recorded estimates and our results of operations could be materially affected.</w:t>
      </w:r>
    </w:p>
    <w:p>
      <w:pPr>
        <w:spacing w:after="0" w:line="16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potential financial or strategic benefits of business ventures, acquisitions or strategic investments and we may not be able to successfully integrate acquisition targets, which could impact our ability to grow our business, develop new products or sell our products.</w:t>
      </w:r>
    </w:p>
    <w:p>
      <w:pPr>
        <w:spacing w:after="0" w:line="15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have completed a number of acquisitions and strategic long-term investments in recent years, including the controlling interest in JICA Intelligent, Suzhou Photon-Matrix Optoelectronics Technology Co., Ltd., or Suzhou Photon-Matrix, Hubei Dongjun Automotive Electronic Technology Co., Ltd, or Hubei Dongjun, and HF Tech Europe AB, and we expect to continue to acquire and invest in other businesses that offer products, services, and technologies that we believe will help expand or enhance our existing products, strategic objectives, and business. While we believe that such transactions are an integral part of our long-term strategy, there are risks and uncertainties related to these activities, which could impair our ability to grow our business and have an adverse effect on our results of operations and financial conditions. Given that our resources are limited, the decision to pursue business ventures, acquisitions, and strategic alliances has opportunity costs. Accordingly, if we pursue a particular transaction, we may need to forgo the prospect of entering into other transactions that could help us achieve our strategic objectives. Additional risks related to business ventures, acquisitions, or strategic investments include, but are not limited to:</w:t>
      </w:r>
    </w:p>
    <w:p>
      <w:pPr>
        <w:spacing w:after="0" w:line="9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technology, products, operations, or workforce of the acquired business with our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capital and other resources, including management’s attention;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liabilities and incurring amortization expenses, impairment charges to goodwill or write-downs of acquired assets;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operations in countries in which we have not previously operated;</w:t>
      </w:r>
    </w:p>
    <w:p>
      <w:pPr>
        <w:spacing w:after="0" w:line="63" w:lineRule="exact"/>
        <w:rPr>
          <w:rFonts w:ascii="Times New Roman" w:cs="Times New Roman" w:eastAsia="Times New Roman" w:hAnsi="Times New Roman"/>
          <w:sz w:val="18"/>
          <w:szCs w:val="18"/>
          <w:color w:val="auto"/>
        </w:rPr>
      </w:pPr>
    </w:p>
    <w:p>
      <w:pPr>
        <w:ind w:left="980" w:right="120" w:hanging="324"/>
        <w:spacing w:after="0" w:line="28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 challenges and risks, including, but not limited to, disputes with management and integrating international operations and joint ventures;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realizing a satisfactory return, if at all;</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or inability to obtain governmental and regulatory consents and approvals, and other approvals or financing;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in complying with governmental or regulatory restrictions placed on acquisitions;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and costs associated with the failure to consummate a proposed acquisition or other strategic investment;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as a result of an acquisition or investment;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acquisitions to result in dilutive issuances of our equity securities;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variability of the amount and form of any performance-based consideration;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time needed to realize the benefits of an acquisition or strategic investment, if at all;</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in general economic conditions in the regions or the industries in which we or our target operate;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determine an alternative strategy if an acquisition does not meet our expectations; and</w:t>
      </w:r>
    </w:p>
    <w:p>
      <w:pPr>
        <w:spacing w:after="0" w:line="63"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our due diligence processes to identify significant issues with the acquired assets or company; and impairment of relationships with, or loss of our or our target’s employees, vendors, and customers, as a result of our acquisition or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warranty claims, product recalls, and product liabilities that may be brought against us.</w:t>
      </w:r>
    </w:p>
    <w:p>
      <w:pPr>
        <w:spacing w:after="0" w:line="21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face an inherent business risk of exposure to warranty claims and product liability in the event that our products fail to perform as expected and, in the case of product liability, such failure of our products results in bodily injury or property damage. The fabrication process of our products is complex and precise. Our customers specify quality, performance, and reliability standards. If flaws in either the design or manufacture of our products were to occur, we could experience a rate of failure in our products that could result in significant delays in delivery and product re-work or replacement costs. Although we engage in extensive product quality programs and processes, these may not be sufficient to avoid product failures, which could cause us to:</w:t>
      </w:r>
    </w:p>
    <w:p>
      <w:pPr>
        <w:spacing w:after="0" w:line="3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such as warranty expense and costs associated with customer support;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cancellations, or rescheduling of orders for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increased product returns or discounts;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our reputation.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these could adversely affect our financial condition and results of operations.</w:t>
      </w:r>
    </w:p>
    <w:p>
      <w:pPr>
        <w:spacing w:after="0" w:line="212" w:lineRule="exact"/>
        <w:rPr>
          <w:sz w:val="20"/>
          <w:szCs w:val="20"/>
          <w:color w:val="auto"/>
        </w:rPr>
      </w:pPr>
    </w:p>
    <w:p>
      <w:pPr>
        <w:ind w:right="120" w:firstLine="648"/>
        <w:spacing w:after="0" w:line="279" w:lineRule="auto"/>
        <w:rPr>
          <w:sz w:val="20"/>
          <w:szCs w:val="20"/>
          <w:color w:val="auto"/>
        </w:rPr>
      </w:pPr>
      <w:r>
        <w:rPr>
          <w:rFonts w:ascii="Times New Roman" w:cs="Times New Roman" w:eastAsia="Times New Roman" w:hAnsi="Times New Roman"/>
          <w:sz w:val="17"/>
          <w:szCs w:val="17"/>
          <w:color w:val="auto"/>
        </w:rPr>
        <w:t>If any of our products are or are alleged to be defective, we may be required to participate in a recall involving such products. A recall claim brought against us, or a product liability claim brought against us in excess of our available insurance, may have a material adverse effect on our business.</w:t>
      </w:r>
    </w:p>
    <w:p>
      <w:pPr>
        <w:spacing w:after="0" w:line="17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in terms of the operational performance and costs of our production facilities and the production facilities of our outsourcing partners and our suppliers.</w:t>
      </w:r>
    </w:p>
    <w:p>
      <w:pPr>
        <w:spacing w:after="0" w:line="158"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We, our outsourcing partners and our suppliers may rely on complex machinery for the production, assembly and installation of our products, which will involve a significant degree of uncertainty and risk in terms of operational performance and costs. Our production facilities and the facilities of our outsourcing partners and suppliers consist of large-scale machinery with high capital expense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efficiency.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or operating results.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Expansion or conversion of our production facilities and establishment of new production facilities may be subject to delays, disruptions, cost overruns, or may not produce expected benefits.</w:t>
      </w:r>
    </w:p>
    <w:p>
      <w:pPr>
        <w:spacing w:after="0" w:line="1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may expand or convert our existing production facilities and establish new manufacturing facilities for production ramp-up of our current and future models with better efficiency and technological capabilities. The expansion or conversions could experience delays or other difficulties, and will require significant capital. We may encounter quality, process, or other issues when making changes to our production arrangements. Moreover, we could encounter similar or other risks as we establish and develop new production facilities in the future. Any failure to complete the expansion of our production facilities on schedule and within budget could adversely affect our financial condition, production capacity, and results of operations.</w:t>
      </w:r>
    </w:p>
    <w:p>
      <w:pPr>
        <w:spacing w:after="0" w:line="21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Construction projects could be subject to broad and strict government supervision and approval procedures, including but not limited to project approvals and filings, construction land and project planning approvals, disease control approvals, environment protection approvals, pollution discharge permits, drainage license, work safety approvals, fire protection approvals, and the completion of inspection and acceptance by the regulatory authorities. If we are unable to comply with applicable regulatory requirements, could construction projects could be suspended or terminated, which could materially and adversely affect our business operations.</w:t>
      </w:r>
    </w:p>
    <w:p>
      <w:pPr>
        <w:spacing w:after="0" w:line="20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7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7"/>
          <w:szCs w:val="17"/>
          <w:color w:val="auto"/>
        </w:rPr>
        <w:t>We have invested and expect to continue to invest significantly in what we believe is modern tooling, machinery, and other manufacturing equipment for the product lines where our products are manufactured, and we depreciate the cost of such equipment over their expected useful lives. However, manufacturing technology may evolve rapidly, and we may decide to update our manufacturing process with advanced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We are working on further improving the efficiency and technological capabilities of our manufacturing bases. Our increased investment in the manufacturing plants will result in an increase in depreciation cost upon expansion of our manufacturing bases, which could adversely affect our financial condition and results of operations.</w:t>
      </w:r>
    </w:p>
    <w:p>
      <w:pPr>
        <w:spacing w:after="0" w:line="1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that could impose substantial costs upon us and cause delays in building our production facilities.</w:t>
      </w:r>
    </w:p>
    <w:p>
      <w:pPr>
        <w:spacing w:after="0" w:line="185"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competent authorities and our customers have been responding to these issues. The increased focus on environmental sustainability may result in new regulations and customer requirements, or changes in current regulations and customer requirements, which could materially adversely impact our business, results of operations and financial condition. If we are unable to effectively manage real or perceived issues, including concerns about environmental impacts or similar matters, sentiments toward us or our products could be negatively impacted, and our business, results of operations or financial condition could suffer.</w:t>
      </w:r>
    </w:p>
    <w:p>
      <w:pPr>
        <w:spacing w:after="0" w:line="216"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Our operations are and will be subject to environmental laws and regulations, and such laws and regulations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require us to reduce product energy usage, monitor and exclude an expanding list of restricted substances and to participate in required recovery and recycling of our products. Environmental and health and safety laws and regulations can be complex, and we have limited experience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complying with them. Capital and operating expenses needed to comply with environmental laws and regulations can be significant, and violations may result in substantial fines and penalties, third-party damages, suspension of production or a cessation of our operations. Contamination at properties we operate, we formerly operated or to which hazardous substances were sent by us,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Additionally, under the PRC Environmental Protection Law, enterprises and other operators that discharge pollutants must take measures to prevent and control pollution and harm to the environment, and must pay discharge fees for discharging pollutants, provided that these fee will not apply if an environmental protection tax has already been levied. The costs of complying with environmental laws and regulations and any claims concerning noncompliance, or liability with respect to contamination in the future, could have a material adverse effect on our financial condition or operating results. We may face unexpected delays in obtaining the required permits and approvals in connection with our planned production facilities that could require significant time and financial resources and delay our ability to operate these facilities, which would adversely impact our business, prospects, financial condition and operating results.</w:t>
      </w:r>
    </w:p>
    <w:p>
      <w:pPr>
        <w:spacing w:after="0" w:line="18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cybersecurity, privacy, data protection and information security in China and elsewhere. Any privacy or data security breach or any failure to comply with these laws and regulations could damage our reputation and brand, result in negative publicity, legal proceedings, increased cost of operations, warnings, fines, service or business suspension, or otherwise harm our business and results of operations.</w:t>
      </w:r>
    </w:p>
    <w:p>
      <w:pPr>
        <w:spacing w:after="0" w:line="19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product and service offerings involve the collection, storage, and transmission of data and we face significant challenges with respect to cybersecurity, privacy, data protection, and information security amid a complex and evolving regulatory framework in China and other geographies that we operate in.</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Information stored on our systems may be targeted in cyber-attacks, including computer viruses, worms, phishing attacks, malicious software programs, and other information security breaches, which could result in the unauthorized release, gathering, monitoring, misuse, loss, or destruction of such information. If cybercriminals are able to circumvent our security measures, or if we are unable to detect and prevent an intrusion into our systems, data stored with us may be compromised and susceptible to unauthorized access, use, disclosure, disruption, modification, or destruction, which could subject us to liabilities, fines, and other penalties. Additionally, if any of our employees accesses, converts, or misuses any sensitive information, we could be liable for damages, and our business reputation could be damaged or destroyed. Any actual or perceived breach of our security could damage our reputation, cause existing customers to discontinue the use of our products and services, prevent us from attracting new customers, or subject us to third-party lawsuits, regulatory fines, or other actions or liabilities, any of which could materially and adversely affect our business, financial condition, and results of operations.</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adopted strict information security policies and deployed advanced security measures to comply with applicable requirements and to prevent data loss and other security breaches, including, among others, advanced encryption technologies. Nonetheless, these measures could be breached as a result of third-party action, employee error, third-party or employee malfeasance, or otherwise. Because the techniques used to obtain unauthorized access or to sabotage systems change frequently, we may not be able to anticipate these techniques and implement adequate preventative or protective measures.</w:t>
      </w:r>
    </w:p>
    <w:p>
      <w:pPr>
        <w:spacing w:after="0" w:line="18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multitude of laws and regulations that aim to address information security, privacy, and the collection, storage, sharing, use, disclosure, and protection of data in various jurisdictions. Specifically, our operations in China are subject to a variety of PRC laws and regulations covering cybersecurity, privacy, data protection, and information security, including, among others, the PRC National Security Law, the PRC Cyber Security Law, the PRC Personal Information Protection Law, the PRC Data Security Law, the Regulations on Security Protection of Critical Information Infrastructure, the revised Measures for Cybersecurity Review, the Several Provisions on Automobile Data Security Management (for Trial Implementation), the Administrative Measures for Data Security in the Field of Industry and Information Technology (for Trial Implementation), the Measures for Security Assessment of Cross-Border Data Transfers. Such PRC laws and regulations were promulgated by PRC government authorities in recent years and impose higher compliance requirements on internet service providers and other network operators, such as in respect of the purposes, methods and scope of information collection and the use of information, acquisition of appropriate user consent, establishment of user information protection systems, and protection of national security. In practice, the PRC government authorities have heightened their supervision on the protection of data security by initiating investigations on certain mainland China companies regarding their cybersecurity and use of personal information and data. Given the novelty of these laws and regulations, there are substantial uncertainties with respect to their interpretation and implementation and</w:t>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additional laws and regulations on this subject may be promulgated in the future, which may impose further requirements on us. We cannot assure you that we will or will continue to be in compliance with all regulatory requirements that will be imposed on us, and we may be faced with additional compliance costs, increased obligations, and potential liability and negative publicity for non-compliance.</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 which took effect on September 1, 2021. It clarifies that, among others, the competent government authorities of certain important industries are authorized to make rules for and administer the identification of critical information infrastructure and promptly notify the critical information infrastructure operators and the public security authorities of the State Council of the results thereof. On December 28, 2021, the CAC and certain other PRC government authorities promulgated the revised Measures for Cybersecurity Review, or the Revised Measures for Cybersecurity Review, which came into effective on February 15, 2022 and replaced the Measures for Cybersecurity Review promulgated in April 2020. Pursuant to the Revised Measures for Cybersecurity Review, in addition to critical information infrastructure operators purchasing network products or services that affect or may affect national security, any online platform operator conducting data processing activities that affect or may affect national security should also be subject to a cybersecurity review. The Office of Cybersecurity Review may initiate a cybersecurity review at its own discretion pursuant to applicable procedures in accordance with the Revised Measures for Cybersecurity Review. The PRC government authorities may further enact detailed rules or issue guidance with respect to the interpretation and implementation of these rules and regulations, including rules on the identification of critical information infrastructure and the exact definition of “online platform operator.” As such, it remains uncertain whether we or other operators we provide network products and services to may be identified as critical information infrastructure operators or online platform operators. If we provide or are deemed to be providing network products and services to critical information infrastructure operators, or if we are deemed to be a critical information infrastructure operator, we would be required to follow applicable cybersecurity review procedures, and additional obligations may also be imposed on us with respect to the protection of critical information infrastructure according to the Cyber Security Law. If we are identified as an online platform operator and our data processing activities are considered to be affecting or may affect national security, we might be subject to a cybersecurity review. Because the Revised Measures for Cybersecurity Review do not define “online platform operator” or clarify the meaning of “affect or may affect national security,” and given the PRC government authority’s discretion to initiate a cybersecurity review, it is possible that we would be subject to an ex officio cybersecurity review. Such review, if undertaken, could result in certain disruptions to our operations, negative publicity with respect to us and diversion of our managerial and financial resources. Failure to complete the cybersecurity review could result in penalties such as fines, suspension of business, shutdown of websites, and revocation of business licenses and permits, any of which could materially and adversely affect our business, financial condition, and results of operations. For a comprehensive discussion on the aforementioned laws and regulations, see “Item 4. Information on the Company—B. Business Overview—Regulations—Regulation on Cyber Security and Privacy Protection.”</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response to the move by PRC government authorities to tighten the regulatory framework governing data security, cybersecurity and privacy, in September 2021 we initiated the process to transfer the rights of our mainland China subsidiaries and of the former VIE to access personal data relevant to their respective business operations to Zhejiang Huanfu Technology Co., Ltd., or Zhejiang Huanfu, an entity controlled by our controlling shareholder. The transfer was completed in December 2021. In January 2022, we entered into a procurement framework agreement with Zhejiang Huanfu and thereafter concluded several procurement-related contracts pursuant to the procurement framework agreement to procure certain data-related services from Zhejiang Huanfu and fulfill our obligations to our PRC customers that were committed to prior to the aforementioned transfer to Zhejiang Huanfu for the sole purpose of restricting our access to personal data. Under these contracts, we engaged Zhejiang Huanfu to provide telematics service provider services relating to hosting of information, including personal data, as well as IT system support and troubleshooting. We also license certain intellectual property to Zhejiang Huanfu to enable it to perform its services. These contracts are governed by terms that we typically enter into with our suppliers. There is no assurance that we will continue to maintain the same collaborative arrangements with or receive the same level of services from Zhejiang Huanfu. If any agreement between us and Zhejiang Huanfu is terminated or expires without renewal, or if Zhejiang Huanfu fails to perform its obligations under such arrangement, becomes unable to provide its services timely and effectively, or at all, or decides to conduct its business or operate in a way that is detrimental to our business interests, our business may be interrupted and there would be an adverse effect on our business, results of operations, financial condition, and prospects. As of the date of this annual report, we have not been informed that we are a critical information infrastructure operator or a data processor conducting data processing activities that affect or may affect national security by any government authority, but it is uncertain whether we would be categorized as such under the PRC law.</w:t>
      </w:r>
    </w:p>
    <w:p>
      <w:pPr>
        <w:spacing w:after="0" w:line="21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7"/>
          <w:szCs w:val="17"/>
          <w:color w:val="auto"/>
        </w:rPr>
        <w:t>As of the date of this annual report, we have not been involved in any investigations or cybersecurity review by the CAC and we have not received any official inquiry, notice, warning, or sanctions in this respect. We cannot rule out the possibility that the foregoing measures may be enacted, interpreted, or implemented in ways that will adversely affect us. We cannot assure you that we would be able to accomplish any review (including the cybersecurity review), obtain any approval, complete any procedures, or comply with any other requirements applicable to us in a timely manner, or at all, if</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are subject to the same. In the event of non-compliance, we may be subject to government investigations and enforcement actions, fines, penalties, and suspension of our noncompliant operations, among other sanctions, which could materially and adversely affect our business, financial condition, and results of operations.</w:t>
      </w:r>
    </w:p>
    <w:p>
      <w:pPr>
        <w:spacing w:after="0" w:line="19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expect that PRC operations in the areas referenced above will receive greater public scrutiny and attention from regulators and more frequent and rigid investigation or review by regulators, which will increase our compliance costs and subject us to heightened risks. We are closely monitoring the development in the regulatory landscape and we are constantly in the process of evaluating the potential impact of the Cyber Security Law, the Civil Code, the Data Security Law, the Personal Information Protection Law, and other applicable laws and regulations on our current business practices. It remains uncertain whether any future regulatory changes would impose additional restrictions on companies like us. If further changes to our business practices are required under the evolving regulatory framework governing cybersecurity, information security, privacy, and data protection in China, our business, financial condition, and results of operations may be materially and adversely affected.</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Aside from our operations in China, we are also required to comply with increasingly complex and rigorous regulatory standards enacted to protect business and personal data in the United States, Europe, and elsewhere. For example, the European Union adopted the General Data Protection Regulation, or the GDPR, which took effect on May 25, 2018. The GDPR imposes additional obligations on companies regarding the handling of personal data and provides certain individual privacy rights to persons whose data is stored.</w:t>
      </w:r>
    </w:p>
    <w:p>
      <w:pPr>
        <w:spacing w:after="0" w:line="19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generally comply with industry standards and are subject to the terms of our own privacy policies. We have incurred, and will continue to incur, significant expenses in an effort to comply with privacy, data protection, and information security standards and protocols imposed by laws, regulations, industry standards, or contractual obligations. Changes in existing laws or regulations or adoption of new laws and regulations relating to privacy, data protection, and information security, particularly any new or amended laws or regulations that require enhanced protection for certain types of data or new obligations with regard to data retention, transmission, or disclosure, could greatly increase our cost in providing our service offerings, require significant changes to our operations, or even prevent us from offering certain services in jurisdictions in which we currently operate or in which we may operate in the future. Compliance with these laws and regulations could cause us to incur substantial costs, and may place restrictions on the conduct of our business and the manner in which we interact with our customers or require us to change our business practices, including our data practices, in a manner adverse to our business. Despite our efforts to comply with applicable laws, regulations, and other obligations relating to cybersecurity, privacy, data protection, and information security, it is possible that our practices, offerings, services, or platform could fail to meet all of the requirements imposed on us by such laws, regulations, or obligations. We cannot assure you that we are or will be able to comply with such laws and regulations regarding cybersecurity, privacy, data protection, and information security in all respects and any failure or perceived failure to comply with the same may result in inquiries or other proceedings being instituted against, or other actions, decisions, or sanctions being imposed on us by government authorities, consumers, or other parties, including warnings, fines, penalties, directions for rectifications, service suspension, or removal of our application from application stores, as well as in negative publicity on us and damage to our reputation, any of which could cause us to lose customers and business partners and materially and adversely affect our business, financial condition, and results of operations.</w:t>
      </w:r>
    </w:p>
    <w:p>
      <w:pPr>
        <w:spacing w:after="0" w:line="182" w:lineRule="exact"/>
        <w:rPr>
          <w:sz w:val="20"/>
          <w:szCs w:val="20"/>
          <w:color w:val="auto"/>
        </w:rPr>
      </w:pPr>
    </w:p>
    <w:p>
      <w:pPr>
        <w:jc w:val="both"/>
        <w:ind w:right="3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94"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have and will continue to implement policies and procedures designed to ensure compliance by us and our directors, officers,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consultants, agents, and business partners with applicable anti-corruption, anti-bribery, anti-money laundering, financial and economic sanctions, and similar laws and regulations. However, our policies and procedures may not be sufficient and our directors, officers, employees, consultants, agents, and business partners could engage in improper conduct for which we may be held responsible.</w:t>
      </w:r>
    </w:p>
    <w:p>
      <w:pPr>
        <w:spacing w:after="0" w:line="176"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16"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We have limited liability insurance coverage for our products, services, and business operations. A successful liability claim against us, regardless of whether due to injuries suffered by our users could materially and adversely affect our financial condition, results of operations, and reputation. In addition, we do not have business disruption insurance. Any business disruption event could result in substantial cost to us and diversion of our resources.</w:t>
      </w:r>
    </w:p>
    <w:p>
      <w:pPr>
        <w:spacing w:after="0" w:line="15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7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substantially on the continued efforts of our executive officers and key employees with expertise in various areas, who have and may in the future assume roles and positions in our affiliated entities or other business entities and may, as a result, not be able to devote their full efforts to our affairs. If one or more of our executive officers or key employees were unable or unwilling to continue their services with us, we may not be able to replace them easily in a timely manner, or at all. As we build up our brand awareness and become more well-known, the risk that competitors or other companies may poach our talent increases.</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high demand and intense competition for talent, in particular with respect to qualified talent in the areas of automotive intelligence technologies, and therefore, we cannot assure you that we will be able to continue to attract or retain qualified staff or other highly skilled employees. In addition, because we are operating in a new and challenging industry that requires continuous innovations of technologies and solutions, we may not be able to hire qualified individuals with sufficient trainings in a timely manner, and we will need to spend significant time and resources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customers, know-how, and key professionals and staff members. While our executive officers and key employees have entered into an employment agreements and non-compete agreements with us, if any dispute arises between our executive officers or key employees and us, the non-competition provisions may not be enforceable, especially under PRC laws, on the ground that we have not provided adequate compensation to them for their non-competition obligations.</w:t>
      </w:r>
    </w:p>
    <w:p>
      <w:pPr>
        <w:spacing w:after="0" w:line="170"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establish, maintain, and strengthen our brand, and our brand and reputation could be harmed by negative publicity with respect to us, our directors, officers, employees, shareholders, peers, business partners, or our industry in general.</w:t>
      </w:r>
    </w:p>
    <w:p>
      <w:pPr>
        <w:spacing w:after="0" w:line="15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business and prospects are affected by our ability to develop, maintain, and strengthen our brand. If we fail to do so we may lose the opportunity to build business relationships with critical customers. Promoting and positioning our brand will depend significantly on our ability to provide innovative and high-quality products and services, in which we have limited experience. In addition, we expect that our ability to develop, maintain, and strengthen the brand will depend heavily on the success of our branding efforts. We market our brand through media, word-of-mouth, trade shows, and advertising. Such efforts may not achieve the desired results. If we do not develop and maintain a strong brand, our business, financial condition, results of operations, and prospects will be materially and adversely affected.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reputation and brand are vulnerable to many threats that can be difficult or impossible to predict, control, and costly or impossible to remediate. From time to time, our products and our business operations in general are reviewed by media or other third parties. Any negative reviews or reviews that compare us unfavorably to competitors could adversely affect public perception about our products. Negative publicity about us, such as alleged misconduct, unethical business practices or other improper activities, or rumors relating to our business, directors, officers, employees, shareholders, affiliates or actual or potential business partners can harm our reputation, business, and results of operations, even if they are baseless or satisfactorily addressed. These allegations, even if unproven or meritless, may lead to inquiries, investigations, or other legal actions against us by regulatory or government authorities as well as private parties. Any regulatory inquiries or investigations and lawsuits against us, perceptions of inappropriate business conduct by us, or perceived wrongdoings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may cooperate with, or any regulatory inquiries or investigations and lawsuits initiated against them, may also have an adverse effect on our brand and reputation, or subject us to regulatory inquiries or investigations or lawsuits. Moreover, any negative media publicity about the automotive intelligence technologies, especially the autonomous driving technologies, or product or service quality problems of other players in the industry in which we operate, including our competitors, may also adversely affect our reputation and brand. In particular, given the popularity of social media, including Weixin and Weibo in China, any negative publicity, whether true or not, could quickly proliferate and harm customer and user perceptions and confidence in our brand. If we are unable to maintain a good reputation or further enhance our brand recognition, our ability to attract and retain customers, third-party partners, and key employees could be harmed and, as a result, our business, financial condition, and results of operations could be materially and adversely affected.</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98" w:lineRule="exact"/>
        <w:rPr>
          <w:sz w:val="20"/>
          <w:szCs w:val="20"/>
          <w:color w:val="auto"/>
        </w:rPr>
      </w:pPr>
    </w:p>
    <w:p>
      <w:pPr>
        <w:jc w:val="both"/>
        <w:ind w:right="700" w:firstLine="648"/>
        <w:spacing w:after="0" w:line="266" w:lineRule="auto"/>
        <w:rPr>
          <w:sz w:val="20"/>
          <w:szCs w:val="20"/>
          <w:color w:val="auto"/>
        </w:rPr>
      </w:pPr>
      <w:r>
        <w:rPr>
          <w:rFonts w:ascii="Times New Roman" w:cs="Times New Roman" w:eastAsia="Times New Roman" w:hAnsi="Times New Roman"/>
          <w:sz w:val="18"/>
          <w:szCs w:val="18"/>
          <w:color w:val="auto"/>
        </w:rPr>
        <w:t>We have adopted the 2019 Share Incentive Plan, the 2021 Option Incentive Plan, and the 2022 Share Incentive Plan. For the years ended December 31, 2023, 2024 and 2025, we recorded US$24.9 million, US$19.1 million, and US$13.3 million in share-based compensation expenses, respectively.</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as such, we will continue to grant share-based compensation and incur share-based compensation expenses in the future. As a result, expenses associated with share-based compensation may increase, which may have an adverse effect on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financial results may be adversely affected by any economic slowdown in China as well as globally.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ultimately depends on consumer spending. We derive substantially all of our revenues from China. As a result, our revenues and financial results are impacted to a significant extent by economic conditions in China and globally. The global macroeconomic environment is facing numerous challenges. The growth rate of the Chinese economy has gradually slowed since 2010. Any slowdown could significantly reduce domestic commerce in China. There have also been concerns about the relationship between China and other countries, surrounding Asian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21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there is considerable uncertainty over the long-term effects of the expansionary monetary and fiscal policies adopted by the central banks and financial authorities of some of the world’s leading economies, including the United States and China. Unrest, terrorist threats and the potential for war in the Middle East and elsewhere may increase market volatility across the globe. The Russia-Ukraine conflict, the Hamas-Israel conflict and attacks on shipping in the Red Sea have heightened geopolitical tensions across the world. The impact of the Russia-Ukraine conflict on Ukraine food exports has contributed to increases in food prices and thus to inflation more generally. See also “—Heightened tensions in international relations, particularly between the United States and China,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Sales of our products and services depend in part on discretionary consumer spending and are even more exposed to adverse changes in general economic conditions. In response to consumers’ perceived uncertainty in economic conditions, customers might delay, reduce, or cancel purchases of our products and our results of operations may be materially and adversely affected..</w:t>
      </w:r>
    </w:p>
    <w:p>
      <w:pPr>
        <w:spacing w:after="0" w:line="199"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Heightened tensions in international relations, particularly between the United States and China, may adversely impact our business, financial condition, and results of operations.</w:t>
      </w:r>
    </w:p>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Many of our suppliers and customers are located in the European Union, United States and other countries outside of China. Therefore, government policies and regulations restricting international trade and investment, such as import and export controls, economic and trade sanctions, capital controls, tariffs or foreign investment filings and approvals, may affect the demand for our vehicles and ADAS systems, impact the competitive position of our vehicles and systems, prevent us from selling our vehicles and systems in certain countries, limit our customers’ ability import our vehicles</w:t>
      </w:r>
    </w:p>
    <w:p>
      <w:pPr>
        <w:spacing w:after="0" w:line="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systems, or disrupt our research and development activities in certain countries. If any new tariffs, legislation, or regulations are implemented, or if existing trade agreements are modified, such changes could have a material adverse effect on our business, financial condition, and results of operations.</w:t>
      </w:r>
    </w:p>
    <w:p>
      <w:pPr>
        <w:spacing w:after="0" w:line="18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particularly between the U.S. and China, but also as a result of the conflict in the Red Sea and in Ukraine with the imposition of sanctions on Russia. Most recently, the military conflict between Israel and Iran (including U.S. participation) have heightened geopolitical tensions across the world and the Israel-Iran conflict and the disruption to the Strait of Hormuz have contributed to significant volatility in global energy markets. These tensions have affected both diplomatic and economic ties. Heightened tensions could reduce levels of trade, investments, technological exchanges, and other economic activities among major economies. Sanctions may create supply constraints and drive inflation. The existing tensions and any further deterioration in international relations may have a negative impact on the general, economic, political, and social conditions and adversely impact our business, financial condition and results of operations.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U.S. government has imposed, and has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From August 21, 2024, the European Commission imposed higher tariffs on imports of electric vehicles made in China. These and similar developments may mark a period of increased trade tensions and higher tariff rates. The regulatory and legislative landscape in the U.S., EU and elsewhere continues to evolve rapidly, and we cannot predict whether further measures will be imposed, whether existing measures will be extended, modified or withdrawn, or what the ultimate impact of these measures will be. If additional tariffs, duties or policy shifts unfavorable to our operations or the operations of our customers are to be introduced in the EU, U.S. or elsewhere, the sales of some of our customers could be materially and adversely affected which could in turn result in a material adverse effect on their and our business, financial condition and results of operations.</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Furthermore, international trade disputes could more broadly affect economic conditions globally, which could harm our business prospects.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or the Entity List, and the restrictions on the use of U.S.-origin semiconductor manufacturing equipment that produces semiconductor devices for companies on the Entity List. In recent years the U.S. has placed certain entities, including a number of entities in China, on the Entity List, which imposes licensing requirement for exports or transfers of items on lists of controlled items maintained by the U.S. government.</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political tensions between the United States and China have escalated due to, among other things, trade disputes, sanctions imposed by the U.S. Department of Treasury on certain officials of the Hong Kong Special Administrative Region and the PRC central government, the executive orders issued by U.S. President Donald J. Trump in August 2020 that prohibit certain transactions with certain Chinese companies, and various restrictions related to the Chinese semiconductor industry imposed by the U.S. government. Against this backdrop, China has also implemented, and may further implement countermeasures. For example, on June 10, 2021, the Standing Committee of National People’s Congress, or the SCNPC, passed the Countering Foreign Sanctions Law, which became effective immediately. This law</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provides a legal basis for the Chinese regulators to take action in response to foreign sanctions, as well as for Chinese citizens and organizations to bring civil actions for injunctive relief or damages. Under the Countering Foreign Sanctions Law, the competent department of the State Council may place any individuals and organizations that are directly or indirectly involved in making, determining, or implementing the discriminatory restrictive measures as provided therein on the Countermeasure List. A foreign individual or organization on the Countermeasure List may be subject to one or several countermeasures, including but not limited to prohibitions or restrictions on commercial transactions, cooperation or such other activities with organizations and individuals within the territory of China. Any organization and individual within the territory of China is required to comply with the countermeasures, and failure to comply or cooperate may result in liability in accordance with law.</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Among the future potential changes to the U.S. export control laws and regulations that could limit our ability to operate our business or limit the ability of our customers to operate their business in connection with the United States, including investing in or forming strategic alliances with any U.S. business, is the ongoing review being conducted by an interagency committee chaired by the U.S. Department of Commerce pursuant to the Export Control Reform Act of 2018, or the ECRA, to identify so-called “emerging and foundational technologies” that might warrant additional export controls under Section 1758 of the ECRA.</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believe we are not a “covered foreign person” based on our current interpretation of the Final Rule as of the date of this annual report.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On December 18, 2025, the Comprehensive Outbound Investment National Security Act of 2025, or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Investment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 If our ability to raise capital is significantly and negatively affected, it could be detrimental to our business, financial condition and prospects, and our securities may significantly decline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On February 29, 2024, the U.S. Department of Commerce commenced a study on the risks that “connected vehicles” could pose to the United States and on March 1, 2024 published an advance notice proposed rulemaking, CV ANPRM, that requested comments on issues related to inputs (including software and hardware) from certain countries considered to be a “foreign adversary”, including the PRC, to the U.S. information and communications technology and services (ICTS) supply chain for connected vehicles in the United States. The CV ANPRM contemplates possible regulations to monitor, limit or ban these inputs. The U.S. Department of Commerce, Bureau of Industry and Security (BIS) published a final rule on January 16, 2025 regulating the import into the United States and sale within the United States of certain connected vehicles and associated hardware and software. The final rule prohibits the importation into the United States of certain vehicle connectivity system (VCS) hardware and the importation or sale within the United States of completed connected vehicles incorporating “covered software” where such VCS hardware or covered software is designed, developed, manufactured or supplied by entities owned by, controlled by, or subject to the jurisdiction or direction of either China or Russia. “Covered software,” which includes certain software-based components related to VCS or automated driving systems, does not include software subcomponents that were designed, developed, manufactured or supplied prior to March 17, 2026, as long as such software subcomponents are not maintained, augmented or otherwise altered by an entity owned by, controlled by, or subject to the jurisdiction or direction of a foreign adversary after March 17, 2026. Additionally, the final rule prohibits connected vehicle manufacturers owned by, controlled by, or subject to the jurisdiction or direction of China or Russia from selling completed connected vehicles that incorporate VCS hardware or covered software in the United States. These prohibitions go into effect on a rolling basis, starting with Model Year 2027 vehicles and for hardware not associated with a model year, on January 1, 2029. Our products may be subject to the restrictions in this final rule, which, if the case, could have a significant impact on our business, particularly with respect to the U.S. market. Furthermore, these regulations could restrict the businesses and operations of our customers and business partners, which could then require us to modify our products or otherwise adjust our operations, which may be costly, time-consuming, and disruptive to our operations and financial performance, if achievable at all. As a result, our business and operations could be severely disrupted, which could materially and adversely affect our results of operations and financial condition.</w:t>
      </w:r>
    </w:p>
    <w:p>
      <w:pPr>
        <w:spacing w:after="0" w:line="23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we have been closely monitoring domestic policies in the U.S. designed to restrict certain Chinese companies from supplying or operating in the U.S. market. These policies include the Clean Network project initiated by the U.S. Department of State in August 2020 and new authorities granted to the Department of Commerce to prohibit or restrict the use of information and communications technology and services. Policies like these may deter U.S. users from accessing and/or using our apps, products and services, which could adversely impact our user experience and reputation.</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Finally, the conflict in the Red Sea and the conflict between Russia and Ukraine have, and are likely to continue to, generate uncertain geopolitical conditions, sanctions, and other potential impacts on the global economic activities. While we do not have substantial operations in these areas or any direct suppliers (i.e., Tier 1 supplier) from these areas, there is no guarantee that these geopolitical tensions will not cause reduce levels of trade, investments and technological exchanges, or result in disruption to our global economic activities and supply chains, which in turn may have an adverse impact on our business and results of operations.</w:t>
      </w:r>
    </w:p>
    <w:p>
      <w:pPr>
        <w:spacing w:after="0" w:line="166" w:lineRule="exact"/>
        <w:rPr>
          <w:sz w:val="20"/>
          <w:szCs w:val="20"/>
          <w:color w:val="auto"/>
        </w:rPr>
      </w:pPr>
    </w:p>
    <w:p>
      <w:pPr>
        <w:ind w:right="7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and other outbreaks could disrupt our production, delivery, and operations, which could materially and adversely affect our business, financial condition, and results of operations.</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spread of contagious diseases, such as Ebola virus disease, Middle East respiratory syndrome, severe acute respiratory syndrome,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spacing w:after="0" w:line="14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5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lease the premises as research and development centers, delivery and servicing centers, factories and offices. We cannot assure you that we would be able to renew the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21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securities may be adversely affected.</w:t>
      </w:r>
    </w:p>
    <w:p>
      <w:pPr>
        <w:spacing w:after="0" w:line="18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 Our management has concluded that our internal control over financial reporting was effective as of December 31, 2025. See “Item 15. Controls and Procedures.”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2012 relating to internal controls over financial reporting.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relevant requirements differently from us.</w:t>
      </w:r>
    </w:p>
    <w:p>
      <w:pPr>
        <w:spacing w:after="0" w:line="172"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securities. Furthermore, we have incurred and may need to incur additional costs and use additional management and other resources in an effort to comply with Section 404 of the Sarbanes-Oxley Act and other requirements going forward.</w:t>
      </w:r>
    </w:p>
    <w:p>
      <w:pPr>
        <w:spacing w:after="0" w:line="22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right infringement claims, which may be time-consuming and would cause us to incur substantial costs.</w:t>
      </w:r>
    </w:p>
    <w:p>
      <w:pPr>
        <w:spacing w:after="0" w:line="15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Entities or individuals, including our competitors, may hold or obtain patents, copyrights, trademarks, or other proprietary rights that would prevent, limit, or interfere with our ability to make, use, develop, sell, or market our products, services, or technologies,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of such rights or otherwise assert their rights and urge us to take licenses. Our applications and uses of intellectual property relating to our design, software, or technologies could be found to infringe upon existing intellectual property rights. If we are determined to have infringed upon a third party’s intellectual property rights, we may be required to do one or more of the following:</w:t>
      </w:r>
    </w:p>
    <w:p>
      <w:pPr>
        <w:spacing w:after="0" w:line="95" w:lineRule="exact"/>
        <w:rPr>
          <w:sz w:val="20"/>
          <w:szCs w:val="20"/>
          <w:color w:val="auto"/>
        </w:rPr>
      </w:pPr>
    </w:p>
    <w:p>
      <w:pPr>
        <w:ind w:left="980" w:right="300" w:hanging="324"/>
        <w:spacing w:after="0" w:line="28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incorporating certain components into our products or services, or offering products or services that incorporate or use the challenged intellectual property;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may not be available on reasonable terms or at all;</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alternative branding for our products and services.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subsequent failure or inability to obtain a license for the infringed technology or other intellectual property right, our business, financial condition, results of operations, and prospects could be materially and adversely affected. In addition, parties making the infringement claim</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may also obtain an injunction that can prevent us from selling our products or using technology that contains the allegedly infringing contents. Any litigation or claims, whether or not valid, could result in substantial costs, negative publicity, and diversion of resources and management attention.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 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83"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and policing unauthorized use of our intellectual property is difficult and costly, and there are uncertainties with respect to the implementation and enforcement of intellectual property laws in mainland China.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5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5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As of December 31, 2025, we had 779 registered patents and 797 pending patent applications globally. We cannot assure you that all our pending patent applications will result in issued patents. Even if our patent applications are granted and we are issued patents accordingly, it is still uncertain whether these 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technologies.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technologies, we rely on our unpatented proprietary technologies, trade secrets, processes, and know-how.</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every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it could have a material adverse effect on our business, operating results, and financial condition.</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a risk that third parties may obtain unauthorized access to and improperly utilize or disclose our proprietary information, which would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16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to conduct our business. Any significant disruptions to our information technology systems or facilities, or those of third parties with which we do business, such as disruptions caused by cyber-attacks, could adversely impact our business.</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keep our business operating effectively depends on the functional and efficient operation of information technology systems and facilities, both internally and externally. We rely on these systems to, among other things, make a variety of day-to-day business decisions as well as to record and process transactions, billings, payments, inventory, and other data, in many currencies, on a daily basis, and across numerous and diverse markets and jurisdictions. Our systems, as well as those of our customers, suppliers, partners, and service providers, also contain sensitive confidential information or intellectual property and are susceptible to interruptions, including those caused by systems failures, cyber-attacks, and other natural or man-made incidents or disasters, which may be prolonged or go undetected. Cyber-attacks, both domestically and abroad, are increasing in their frequency, sophistication, and intensity, and have become increasingly difficult to detect. Although we have and continue to take precautions to prevent, detect, and mitigate such events, a significant or large-scale interruption of our information technology systems or facilities could adversely affect our ability to manage and keep our operations running efficiently and effectively, and could result in significant costs, fines or litigation. An incident that results in a wider or sustained disruption to our business or products could have a material adverse effect on our business, financial condition, and results of operations.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certain of our products contain complex information technology systems designed to support today’s increasingly connected vehicles, and could be susceptible to similar interruptions, including the possibility of unauthorized access. Further, if we are to offer more cloud-based solutions which are dependent on the Internet or other networks to operate, we may increasingly be the target of cyber threats, including computer viruses or breaches due to misconduct of employees, contractors, or others who have access to our networks and systems, or those of third parties with which we do business. Although we have designed and implemented security measures to prevent and detect such unauthorized access or cyber threats from occurring, we cannot assure you that vulnerabilities will not be identified in the future, or that our security efforts will be successful. Any unauthorized access to our components could adversely affect our brand and harm our business, prospects, financial condition, and operating results. Further, maintaining and updating these systems may require significant costs and often involves implementation, integration, and security risks, including risks that we may not adequately anticipate the market or technological trends or that we may experience unexpected challenges that could cause financial, reputational, and operational harm. However, failing to properly respond to and invest in information technology advancements may limit our ability to attract and retain customers, prevent us from offering similar products and services as those offered by our competitors or inhibit our ability to meet regulatory or other requirements.</w:t>
      </w:r>
    </w:p>
    <w:p>
      <w:pPr>
        <w:spacing w:after="0" w:line="190"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experienced any system failure, cyber-attack or security breach that has resulted in a material interruption in our operations or material adverse effect on our financial condition. While we continually seek to expand and improve our information technology systems and maintain adequate disclosure controls and procedures, we cannot assure you that such measures will prevent interruptions or security breaches that could adversely affect our business.</w:t>
      </w:r>
    </w:p>
    <w:p>
      <w:pPr>
        <w:spacing w:after="0" w:line="162" w:lineRule="exact"/>
        <w:rPr>
          <w:sz w:val="20"/>
          <w:szCs w:val="20"/>
          <w:color w:val="auto"/>
        </w:rPr>
      </w:pPr>
    </w:p>
    <w:p>
      <w:pPr>
        <w:jc w:val="both"/>
        <w:ind w:right="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use open-source software, which may pose particular risks to our proprietary software and source code. We may face claims from open-source licensors claiming ownership of, or demanding the release of, the intellectual property that we developed using or derived from such open source software.</w:t>
      </w:r>
    </w:p>
    <w:p>
      <w:pPr>
        <w:spacing w:after="0" w:line="18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use open-source software in our proprietary software and will use open-source software in the future. Companies that incorporate open-source software into their proprietary software and products have, from time to time, faced claims challenging the use of open-source software and compliance with open source license terms. By the terms of certain open-source licenses, we could be required to release the source code of our proprietary software, and to make our proprietary software available under open-source licenses to third parties at no cost, if we combine our proprietary software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open source software in certain manners. Although we monitor our use of open-source software, we cannot assure you that all open-source software is reviewed prior to use in our software, that our developers have not incorporated open-source software into our proprietary software, or that they will not do so in the future. In addition, companies that incorporate open-source software into their products have, in the past, faced claims seeking enforcement of open-source license provisions and claims asserting ownership of open source software incorporated into their proprietary software. If an author or other third party that distributes such open-source software were to allege that we have not complied with the conditions of an open-source license, we could incur significant legal costs defending ourselves against such allegations. In the event such claims were successful, we could be subject to significant damages or be enjoined from the distribution of our proprietary software. In addition, the terms of open-source software licenses may require us to provide software that we develop using such open-source software to others on unfavorable license terms.</w:t>
      </w:r>
    </w:p>
    <w:p>
      <w:pPr>
        <w:spacing w:after="0" w:line="192"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18"/>
          <w:szCs w:val="18"/>
          <w:color w:val="auto"/>
        </w:rPr>
        <w:t>As a result of our current or future use of open-source software, we may face claims or litigation, be required to release our proprietary source code, pay damages for breach of contract, re-engineer our proprietary software, discontinue making our proprietary software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open-source software can lead to greater risks than use of third-party commercial software, as open-source licensors generally do not provide warranties or controls on the origin of the software. Any of these risks could be difficult to eliminate or manage, and, if not addressed, could have a negative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19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significant oversight and discretion over our business operations, and it may influence our operations as part of its efforts to enforce PRC law, which could result in a material adverse change in our operations and the value of our securities.</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major part of our operations is located in China. The PRC government has significant authority to influence the China operations of an offshore holding company like ECARX Holdings at any time. Accordingly, our business, prospects, financial condition, and results of operations may be influenced to a significant degree by political, economic, and social conditions in China generally. 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to underscore the importance of the utilization of market forces for economic reform, the divestment of state ownership in productive assets and the establishment of improved corporate governance in business enterprises, a substantial portion of productive assets in mainland China are still owned by the government. In addition, the PRC government continues to play a significant role in regulating industry development by imposing industrial policies. The PRC government also exercises significant control over China’s economic growth through resources allocation, controlling payment of foreign currency-denominated obligations, setting monetary policy and providing preferential treatment to selected industries or companies.</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different sectors of the economy. The PRC government has implemented various measures to generate economic growth and guide the allocation of resources. Some of these measures may benefit the Chinese economy overall, but may have a negative effect on us. Any slowdown in the Chinese economy may reduce the demand for our products and services and materially and adversely affect our business and results of operations.</w:t>
      </w:r>
    </w:p>
    <w:p>
      <w:pPr>
        <w:spacing w:after="0" w:line="16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 regarding the interpretation and enforcement of PRC laws and regulations could limit the legal protections available to you and us, hinder our ability and the ability of any holder of our securities to offer or continue to offer such securities, result in a material adverse change to our business operations, and damage our reputation, which would materially and adversely affect our financial condition and results of operations and cause our securities to significantly decline in value or become worthless.</w:t>
      </w:r>
    </w:p>
    <w:p>
      <w:pPr>
        <w:spacing w:after="0" w:line="1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PRC legal system is evolving rapidly and PRC laws, regulations, and rules may change quickly. In particular, the legal system in mainland China is based on written statutes, and court decisions have limited precedential value. The interpretations of many laws, regulations, and rules in mainland China are done inconsistently, subjecting the enforcement of the same to a great deal of uncertainties. From time to time, we may have to resort to court and administrative proceedings to enforce our legal rights. However, since the administrative authorities in mainland China have significant discretion in interpreting and implementing statutory and contractual terms, it may be difficult to predict the outcome of a judicial or administrative proceeding in mainland China, and we may not always be aware of an instance of violation 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policies and rules even after its occurrence. Such unpredictability towards our contractual, property (including intellectual property), and procedural rights could adversely affect our business and impede our ability to continue our operations.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Laws and regulations concerning our industries are also constantly evolving in China and the PRC government authorities may further promulgate new laws and regulations regulating our industries and other businesses we have already engaged in or may further expand into in the future. Although we have taken measures to comply with and avoid violation of applicable laws and regulations, we cannot assure you that our practice is and will remain in full compliance with applicable PRC laws and regulations.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PRC government may regulate our operations at any time, or may exercise more oversight and control at any time over offerings conducted outside of China and foreign investment in China-based companies. For example, the Opinions on Severely Cracking Down on Illegal Securities Activities According to Law issued on July 6, 2021 emphasized the need to strengthen the management over illegal securities activities and the supervision on overseas listings by mainland China-based companies. These opinions propose to take effective measures, such as promoting the establishment of regulatory frameworks, to deal with the risks and incidents facing mainland China-based overseas-listed companies, and fulfill the demand for cybersecurity and data privacy protection. These opinions and any future related implementation rules may subject us to additional compliance requirement in the future. Official guidance and interpretation of these opinions are absent in several material respects at this time.</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Therefore, we cannot assure you that we will remain fully compliant with any new regulatory requirements or any future implementation rules on a timely basis, or at all. Any failure of us to fully comply with applicable laws and regulations may significantly limit or completely hinder our ability and the ability of any holder of our securities to offer or continue to offer such securities, cause significant disruption to our business operations, and severely damage our reputation, which would materially and adversely affect our financial condition and results of operations and cause our securities to significantly decline in value or become worthless.</w:t>
      </w:r>
    </w:p>
    <w:p>
      <w:pPr>
        <w:spacing w:after="0" w:line="16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 filing with the CSRC or other PRC government authorities may be required in connection with the Business Combination, our previous offerings and listing under PRC law, and, if so required, we cannot predict whether or when we will be able to obtain such approval or complete such filing, and even if we obtain such approval, it could be rescinded.</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issued by six PRC regulatory authorities in 2006 and amended in 2009, requires offshore special purpose vehicles that are controlled by mainland China companies or individuals and that have been formed for the purpose of seeking a public listing on an overseas stock exchange through acquisitions of mainland China companies or assets to obtain CSRC approval prior to publicly listing their securities on an overseas stock exchange. The interpretation and application of the regulations remain unclear. If the CSRC approval is required retrospectively for the Business Combination or any of our overseas listings or capital raising activities, it is uncertain whether we can or how long it will take us to obtain such approval and, even if we obtain such CSRC approval, such CSRC approval could be rescinded. Any failure to obtain or delay in obtaining the CSRC approval for our overseas listings and capital raising activities if such approval is required, or a rescission of such CSRC approval is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addition, the PRC government has indicated an intent to exert more oversight and control over overseas offerings by and foreign investment in China-based companies. The Opinions on Severely Cracking Down on Illegal Securities Activities According to Law promulgated on July 6, 2021 emphasize the need to strengthen cross-border regulatory cooperation and the administration and supervision of mainland China-based companies, and to establish a comprehensive regulatory system for the application of mainland China capital market laws and regulations outside mainland China. On February 17, 2023, the CSRC released several regulations regarding the filing requirements for overseas offerings and listings by mainland China-based companies, including the Overseas Listing Filing Rules that took effect on March 31, 2023. According to the Overseas Listing Filing Rules, the issuer or a major domestic operating company designated by the issuer, as the case may be, must make a filing with the CSRC in respect of its initial public offering or listing, follow-on offering, and other equivalent offing activities. According to the Overseas Listing Filing Rules, for an issuer which is already listed, it should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dividends, share split, etc., (iii) it issues additional securities in several offerings within its authorized scope; or (iv) it conducts a secondary listing or primary listing in any other overseas market. In connection with the Overseas Listing Filing Rules, the CSRC issued the Notice on Administrative Arrangements for the Filing of Overseas Offering and Listing by Domestic Companies on February 17, 2023, which stipulates that mainland China-based issuers like us that have completed overseas listings prior to March 31, 2023 are not required to file with the CSRC in accordance with the Overseas Listing Filing Rules immediately, but must follow filing procedures as required if such companies conduct refinancing or if other circumstances arise requiring a filing with the CSRC.</w:t>
      </w:r>
    </w:p>
    <w:p>
      <w:pPr>
        <w:spacing w:after="0" w:line="19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Furthermore, according to the Revised Measures for Cybersecurity Review, any online platform operator (the exact definition of “online platform operator” remains unclear) conducting data processing activities that affect or may affect national security should be subject to a cybersecurity review. On February 24, 2023, the CSRC and several other government authorities jointly issued the Provisions on Strengthening Confidentiality and Archives Administration of Overseas Securities Offering and Listing by Domestic Companies, or the Overseas Listing Archives Rules, which took effect on March 31, 2023. The Overseas Listing Archives Rules apply to both direct and indirect overseas offerings. The Overseas Listing Archives Rules stipulate that, among other things, (i) domestic companies involved in the overseas listing of mainland China-based companies are required to strictly comply with requirements on confidentiality and archives management, establish a sound confidentiality and archives system, and take necessary measures to implement their confidentiality and archives management responsibilities; (ii) during the course of an overseas offering or listing, if a domestic company needs to publicly disclose or provide to securities companies, accounting firms, or other securities service providers and overseas regulators, any materials that contain state secrets or that have a sensitive impact (i.e., detrimental to national security or public interest if divulged), the domestic company should complete the required approval or filing and other regulatory procedures; and (iii) working papers produced in China by securities companies and securities service providers, which provide domestic companies with securities services during their overseas offering or listing, should be stored in mainland China, and the transmission of any such working papers to recipients outside mainland China must be approved by competent PRC government authorities. As of the date of this annual report, we have not been involved in any investigations or cybersecurity review initiated by the CAC and we have not received any official inquiry, notice, warning, or sanctions regarding cybersecurity and overseas listing from the CAC, the CSRC, or any other PRC government authorities.</w:t>
      </w:r>
    </w:p>
    <w:p>
      <w:pPr>
        <w:spacing w:after="0" w:line="24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Based on the opinion of Han Kun Law Offices, our legal counsel as to the law of mainland China, according to its interpretation of the currently in effect laws and regulations in mainland China, we believe that, as of the date of this annual report, our past offerings do not require the application or completion of any cybersecurity review or any other permission or approval from government authorities in mainland China including the CSRC.</w:t>
      </w:r>
    </w:p>
    <w:p>
      <w:pPr>
        <w:spacing w:after="0" w:line="19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Substantial uncertainties exist with respect to the interpretation and implementation of the Overseas Listing Filing Rules and laws and regulations relating to data security, privacy, and cybersecurity. In addition, the PRC government authorities have significant discretion in interpreting and implementing statutory provisions in general. In light of the foregoing, we cannot assure you that PRC government authorities will not take a contrary position or adopt different interpretations than those taken or adopted by us or our legal counsel, or that there will not be changes in the regulatory landscape. In other words, the application and completion of a cybersecurity review and other permissions and approvals from PRC government authorities may be required in connection with the Business Combination or our previous offerings and listing on Nasdaq. In addition, the CAC, the CSRC, or other government authorities may subsequently promulgate new rules or issue explanations mandating that we complete filings or obtain approvals, registrations, or other kinds of authorizations for the Business Combination or our previous offerings and listing on Nasdaq, on a retrospective basis.</w:t>
      </w:r>
    </w:p>
    <w:p>
      <w:pPr>
        <w:spacing w:after="0" w:line="1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it is determined in the future (including on a retrospective basis) that approval from or filing with the CSRC, the CAC, or other government authorities are required for the Business Combination or our previous offerings and listing on Nasdaq, it is uncertain whether we can, or how long it will take us to, obtain such approval or complete such filing procedures and any such approval could be rescinded. In addition, if circumstances arise requiring us to make a filing or reporting, such as additional offshore listings, refinancing, and other capital raising activities conducted by us, or the occurrence of other major events with respect to us, including but not limited to the change of control, investigation, or punishment by overseas securities regulatory authorities or other competent authorities, the change of listing status or listing sector, voluntary or forced delisting, and the change of our major business activities, we cannot assure you that we will be able to complete such filing or reporting or fully comply with applicable rules and requirements in a timely manner, or at all, given the substantial uncertainties surrounding the CSRC filing requirements. For further details, see “Item 4. Information on the Company—B. Business Overview—Regulations—Regulation on Mergers and Acquisitions and Overseas Listing.”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failure to obtain or delay in obtaining clearance of such approval or completing such filing procedures for the Business Combination, our previous offerings and listing on Nasdaq, or a rescission of any such approval if obtained by us, would subject us to regulatory actions or other sanctions by the CSRC, the CAC, or other PRC government authorities for failure to seek required government authorization in respect of the same. These government authorities may impose fines, restrictions, and penalties on our operations in China, such as revocation of our licenses, or shutdown of part or all of our operations, restriction on our ability to pay dividends outside mainland China, limit on our operating privileges in China, unwinding of the Business Combination, or other actions that could have a material adverse effect on our business, financial condition, results of operations, and prospects, as well as the trading price of our securities. The PRC government authorities may also take actions requiring us, or making it advisable for us, to suspend our offerings before settlement and delivery. Consequently, if you engage in market trading or other activities in anticipation of and prior to settlement and delivery, you do so at the risk that settlement and delivery may not occur.</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(i) we do not receive or maintain any required permission, or fail to complete any required review or filing, (ii) we inadvertently conclude that such permission, review, or filing is not required, or (iii) applicable laws, regulations, or interpretations change such that it becomes mandatory for us to obtain any permission, review, or filing in the future, we may have to expend significant time and costs to comply with these requirements. If we are unable to do so, on commercially reasonable terms, in a timely manner or otherwise, we may become subject to sanctions imposed by the PRC government authorities, which could include fines and penalties, proceedings against us, and other forms of sanctions, and our ability to conduct our business, invest into China as foreign investments or accept foreign investments, or list on a U.S. or other overseas exchange may be restricted, and our business, reputation, financial condition, and results of operations may be materially and adversely affected. Further, our ability to offer or continue to offer securities to investors may be significantly limited or completely hindered, and the value of our securities may significantly decline and such securities may become worthless.</w:t>
      </w:r>
    </w:p>
    <w:p>
      <w:pPr>
        <w:spacing w:after="0" w:line="17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our securities were deprived of the benefits of such PCAOB inspections. The inability of the PCAOB to conduct inspections of auditors in mainland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securities would be deprived of the benefits of such PCAOB inspections again, which could cause investors and potential investors in our securities to lose confidence in our audit procedures and reported financial information and the quality of our financial statements.</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securities may be prohibited from trading in the United States under the HFCAA in the future if the PCAOB is unable to inspect or investigate completely auditors located in mainland China and Hong Kong. The delisting of our securities, or the threat of their being delisted, may materially and adversely affect the value of your investment.</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w:t>
      </w:r>
    </w:p>
    <w:p>
      <w:pPr>
        <w:spacing w:after="0" w:line="203"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 As of the date of this annual report, the PCAOB has not issued any new determination that it is unable to inspect or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investigate completely registered public accounting firms headquartered in any jurisdiction. For this reason, we do not expect to be identified as a Commission-Identified Issuer under the HFCAA after we file our annual report on Form 20-F for the fiscal year ended December 31, 2025.</w:t>
      </w:r>
    </w:p>
    <w:p>
      <w:pPr>
        <w:spacing w:after="0" w:line="1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securities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74"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p>
      <w:pPr>
        <w:spacing w:after="0" w:line="162"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the offering of our securities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making capital-raising more difficult.</w:t>
      </w:r>
    </w:p>
    <w:p>
      <w:pPr>
        <w:spacing w:after="0" w:line="18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certain acquisitions of mainland China companies, which could make it more difficult for us to pursue growth through acquisitions in China.</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mainland China by foreign investors more time consuming and complex. In addition to the Anti-Monopoly Law itself, these include the M&amp;A Rules, adopted by six PRC regulatory agencies in 2006 and amended in 2009, the Rules of the Ministry of Commerce on Implementation of Security Review System of Mergers and Acquisitions of Domestic Enterprises by Foreign Investors promulgated in 2011, and the Measures for the Security Review of Foreign Investment promulgated by the NDRC and the Ministry of Commerce in December 2020 and came into force on January 18, 2021. These laws and regulations impose requirements in some instances that the Ministry of Commerce be notified in advance of any change-of-control transaction in which a foreign investor takes control of a mainland China company. In addition, pursuant to anti-monopoly laws and regulations, the SAMR should be notified in advance of any concentration of undertaking if certain thresholds are triggered. In light of the uncertainties relating to the interpretation, implementation and enforcement of PRC anti-monopoly laws and regulations, we cannot assure you that the anti-monopoly law enforcement agency will not deem our future acquisitions or investments to have triggered filing requirement for anti-monopoly review. Moreover, mergers and acquisitions by foreign investors that raise “national defense and security” concerns and mergers and acquisitions through which foreign investors may acquire de facto control over mainland China companies that raise “national security” concerns are subject to strict review by the NDRC and the Ministry of Commerce, and prohibit any attempt to bypass a security review, including by structuring the transaction through a proxy or contractual control arrangement.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future, we may grow our business by acquiring complementary businesses. Complying with the requirements of applicable regulations to complete such transactions could be time consuming, and any required approval processes, including clearance from the SAMR and approval from the Ministry of Commerce,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2019 PRC Foreign Investment Law and its Implementation Rules</w:t>
      </w:r>
      <w:r>
        <w:rPr>
          <w:rFonts w:ascii="Times New Roman" w:cs="Times New Roman" w:eastAsia="Times New Roman" w:hAnsi="Times New Roman"/>
          <w:sz w:val="21"/>
          <w:szCs w:val="21"/>
          <w:b w:val="1"/>
          <w:bCs w:val="1"/>
          <w:i w:val="1"/>
          <w:iCs w:val="1"/>
          <w:color w:val="auto"/>
        </w:rPr>
        <w:t>.</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2019 PRC Foreign Investment Law, which came into effect on January 1, 2020 and replaced the trio of then existing laws regulating foreign investment in mainland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 regulatory trend in mainland China that aims to bring its foreign investment regulatory regime in line with prevailing international practices, and represent the legislative endeavors to unify corporate legal requirements applicable to foreign and domestic investments. However, substantial uncertainties exist with respect to the interpretations and implementations of the 2019 PRC Foreign Investment Law and its Implementation Rules.</w:t>
      </w:r>
    </w:p>
    <w:p>
      <w:pPr>
        <w:spacing w:after="0" w:line="20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2019 PRC Foreign Investment Law specifies that foreign investments shall be conducted in line with the “negative list” to be issued by or approved to be issued by the State Council. A foreign invested enterprise would not be allowed to make investments in prohibited industries set out in the “negative list” while a foreign invested enterprise must satisfy certain conditions stipulated in the “negative list” for investment in restricted industries. While our mainland China subsidiaries are not currently subject to foreign investment restrictions as set forth in the presently effective Special Management Measures (Negative List) for the Access of Foreign Investment (2024 Version), or the 2024 Negative List,</w:t>
      </w:r>
    </w:p>
    <w:p>
      <w:pPr>
        <w:spacing w:after="0" w:line="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it is uncertain whether any of their business operation will be subject to foreign investment restrictions or prohibitions set forth in the “negative list” to be issued in the future. If any part of our business operation falls in the “negative list” or if the interpretation and implementation of the 2019 PRC Foreign Investment Law and any future “negative list” mandate further actions, such as market entry clearance granted by the Ministry of Commerce, we face uncertainties as to whether such clearance can be timely obtained, or at all. We cannot assure you that government authorities will not interpret or</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implement the 2019 PRC Foreign Investment Law in the future in a way that will materially impact the viability of our current corporate governance and business operations.</w:t>
      </w:r>
    </w:p>
    <w:p>
      <w:pPr>
        <w:spacing w:after="0" w:line="177"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Regulations in mainland China of loans to and direct investment in mainland China companies by offshore holding companies and governmental control of currency conversion may delay or prevent us from making loans to or make additional capital contributions to our mainland China subsidiaries, which could materially and adversely affect our liquidity and our ability to fund and expand our business.</w:t>
      </w:r>
    </w:p>
    <w:p>
      <w:pPr>
        <w:spacing w:after="0" w:line="21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ECARX Holdings is an offshore holding company and we conduct our operations in mainland China primarily through our mainland China subsidiaries. We may make additional capital contributions or loans to our mainland China subsidiaries, which are treated as foreign invested enterprises under the law in mainland China. Any loans by us to our mainland China subsidiaries are subject to regulations and foreign exchange loan registrations of mainland China. For example, with respect to the registration, loans by us to our mainland China subsidiaries to finance their activities must be registered with the relevant local counterpart of SAFE, or filed with SAFE in its information system; with respect to the outstanding amounts of loans, (i) if the mainland China subsidiaries adopt the traditional foreign exchange administration mechanism, the outstanding amount of loans shall not exceed the difference between the total investment and the registered capital of those subsidiaries; and (ii) if the mainland China subsidiaries adopt the relatively new foreign debt mechanism, the outstanding amount of loans shall not exceed 200% of the net asset of those subsidiaries. We may also finance our mainland China subsidiaries by means of capital contributions. These capital contributions must be reported to or filed or registered with the Ministry of Commerce and the SAMR or their local counterparts.</w:t>
      </w:r>
    </w:p>
    <w:p>
      <w:pPr>
        <w:spacing w:after="0" w:line="2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Circular on the Reforming of the Management Method of the Settlement of Foreign Currency Capital of Foreign-Invested Enterprises, or SAFE Circular 19, which took effect on June 1, 2015 and was last amended on March 23, 2023, and the Circular of the State Administration of Foreign Exchange on Reforming and Regulating Policies on the Control over Foreign Exchange Settlement of Capital Accounts, or SAFE Circular 16, which was promulgated in June 2016 and last amended in December 2023, foreign-invested enterprises may either continue to follow the current payment-based foreign currency settlement system or choose to follow the “conversion-at-will” system for foreign currency settlement. SAFE Circular 19 and SAFE Circular 16, therefore, have substantially lifted the restrictions on the use by a foreign-invested enterprise of its Renminbi registered capital, foreign debt and repatriated funds raised through overseas listing converted from foreign currencies. Nevertheless, SAFE Circular 19 and SAFE Circular 16 reiterate the principle that Renminbi converted from the foreign currency-denominated capital of a foreign invested company may not be directly or indirectly used for purposes beyond its business scope and prohibit foreign-invested companies from using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Renminbi fund to provide loans to persons other than affiliates unless otherwise permitted under their business scopes.</w:t>
      </w:r>
    </w:p>
    <w:p>
      <w:pPr>
        <w:spacing w:after="0" w:line="25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Under the laws and regulations of mainland China, we are permitted to utilize the proceeds of any financing outside mainland China to fund our mainland China subsidiaries by making loans to or additional capital contributions to our mainland China subsidiaries, subject to applicable government registration, statutory limitations on amount and approval requirements. These laws and regulations may significantly limit our ability to use Renminbi converted from the net proceeds of any financing outside mainland China to fund the establishment of new entities in mainland China by our mainland China subsidiaries, to invest in or acquire any other mainland China companies through our mainland China subsidiaries.</w:t>
      </w:r>
    </w:p>
    <w:p>
      <w:pPr>
        <w:spacing w:after="0" w:line="193"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21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ECARX Holdings is a holding company, and we may rely on dividends and other distributions on equity paid by our subsidiaries for our cash and financing requirements, including the funds necessary to pay dividends and other cash distributions to our shareholders and service any debt we may incur. Current regulations in mainland China permit our mainland China subsidiaries to pay dividends to us only out of their accumulated after-tax profits upon satisfaction of applicable statutory conditions and procedures, if any, determined in accordance with the accounting standards and regulations in mainland China. In addition, each of our mainland China subsidiaries is required to set aside at least 10% of its after-tax profits each year, if any, to fund certain reserve funds until the total amount set aside reaches 50% of its registered capital.</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most of our mainland China subsidiaries had not made appropriations to statutory reserves as they have reported accumulated loss. For a detailed discussion of applicable PRC regulations governing distribution of dividends, see “Item 4. Information on the Company— B. Business Overview—Regulations—Regulation on Dividend Distribution.”</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if our mainland China subsidiaries incur debt on their own behalf in the future, the instruments governing their debt may restrict their ability to pay dividends or make other distributions to us. In addition, the incurrence of indebtedness by our mainland China subsidiaries could result in operating and financing covenants and undertakings to creditors that would restrict the ability of these subsidiaries to pay dividends to us.</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limitation on the ability of our mainland China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mainland China resident enterprise for purposes of income tax in mainland China, such classification could result in unfavorable tax consequences to us and our non-mainland China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in mainland China.</w:t>
      </w:r>
    </w:p>
    <w:p>
      <w:pPr>
        <w:spacing w:after="0" w:line="22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jurisdictions outside mainland China are difficult to pursue as a matter of law or practicality in mainland China. For example, in mainland China, there are significant legal and other obstacles to providing information needed for regulatory investigations or litigation initiated outside mainland China. Although PRC authorities may establish a regulatory cooperation mechanism with the securities regulators of another country or region to implement cross-border supervision and administration, such cooperation with the securities regulators in the United States or other jurisdictions may not be efficient in the absence of mutual and practical cooperation mechanism. Furthermore, according to Article 177 of the PRC Securities Law which took effect in March 2020, no overseas securities regulator is allowed to directly conduct investigations or evidence collection activities within mainland China, and without the consent by the Chinese securities government authorities and the other competent governmental agencies, no entity or individual may provide documents or materials related to securities business to any foreign party. The Provisions on Strengthening Confidentiality and Archives Administration of Overseas Securities Offering and Listing by Domestic Companies which took effect on March 31, 2023 also provide that where an overseas securities regulator and a competent overseas authority requests to inspect, investigate or collect evidence from a mainland China company concerning its overseas offering and listing, such inspection, investigation and evidence collection shall be conducted under a cross-border regulatory cooperation mechanism, and the mainland China company shall first obtain approval from the CSRC or other competent PRC authorities before cooperating with the inspection and investigation by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overseas securities regulator or competent overseas authority, or providing documents and materials requested in such inspection and investigation. While detailed interpretation or implementation of applicable rules have yet to be promulgated, the inability for an overseas securities regulator to directly conduct investigations or evidence collection activities within mainland China and the potential obstacles for information provision may further increase difficulties faced by you in protecting your interests.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profitability.</w:t>
      </w:r>
    </w:p>
    <w:p>
      <w:pPr>
        <w:spacing w:after="0" w:line="256"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Companies registered and operating in mainland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full social insurance payments and contribute to the housing provident funds. If we are found to have violated applicable labor laws and regulations, we could be required to provide additional compensation to our employees and our business, financial condition and results of operations could be adversely affected.</w:t>
      </w:r>
    </w:p>
    <w:p>
      <w:pPr>
        <w:spacing w:after="0" w:line="206"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7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ECARX Holdings is an exempted company incorporated under the laws of the Cayman Islands, while we conduct substantially all of our operations in China, and substantially all of our assets are located in China. As a result, it may be difficult for our shareholders to effect service of process upon us or those persons inside China. In addition, mainland China does not have treaties providing for the reciprocal recognition and enforcement of judgments of courts with the Cayman Islands and many other countries and regions. Therefore, recognition and enforcement in mainland China of judgments of a court in any of these jurisdictions in relation to any matter not subject to a binding arbitration provision may be difficult or impossible. For additional information, please see the “Item 6. Directors, Senior Management and Employees––Enforceability of Civil Liability and Agent for Service of Process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depreciate significantly in value against the U.S. dollar in the future. It is difficult to predict how market forces or PRC or U.S. government policy may impact the exchange rate between Renminbi and the U.S. dollar in the future.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securities in U.S. dollars. For example, to the extent that we need to convert U.S. dollars we receive into Renminbi to pay our operating expenses,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our securities.</w:t>
      </w:r>
    </w:p>
    <w:p>
      <w:pPr>
        <w:spacing w:after="0" w:line="2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Currently, we do not have any hedging transactions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in certain cases, the remittance of currency out of mainland China. Under existing foreign exchange regulations in mainland China,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Renminbi is to be converted into a foreign currency and remitted out of mainland China to pay capital expenses, such as the repayment of loans denominated in foreign currencies. See “Item 4. Information on the Company—B. Business Overview—Regulations—Regulation on Foreign Exchange.”</w:t>
      </w:r>
    </w:p>
    <w:p>
      <w:pPr>
        <w:spacing w:after="0" w:line="21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Renminbi. If the foreign exchange control system prevents us from obtaining sufficient foreign currencies to satisfy our foreign currency demands, we may not be able to pay dividends in foreign currencies to our shareholder.</w:t>
      </w:r>
    </w:p>
    <w:p>
      <w:pPr>
        <w:spacing w:after="0" w:line="19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Regulations in mainland China relating to offshore investment activities by mainland China residents may limit our mainland China subsidiaries’ ability to increase their registered capital or distribute profits to us or otherwise expose us or our mainland China resident beneficial owners to liability and penalties under PRC law.</w:t>
      </w:r>
    </w:p>
    <w:p>
      <w:pPr>
        <w:spacing w:after="0" w:line="21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SAFE requires mainland China residents or entities to register with SAFE or its local branch in connection with their establishment or control of an offshore entity established for the purpose of overseas investment or financing. In addition, such mainland China residents or entities must update their SAFE registrations when the offshore special purpose vehicle undergoes certain material events. See “Item 4. Information on the Company—B. Business Overview—Regulations—Regulation on Foreign Exchange—Offshore Investment by Mainland China Residents.”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our shareholders who are mainland China residents or entities do not complete their registration with the local SAFE branches, our mainland subsidiaries may be prohibited from distributing their profits and any proceeds from any reduction in capital, share transfer or liquidation to us, and we may be restricted in our ability to contribute additional capital to our mainland subsidiaries. Moreover, failure to comply with SAFE registration requirements could result in liability under PRC law for evasion of applicable foreign exchange restrictions.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any registrations or obtain any approvals required by, SAFE regulations. Failure by such shareholders or beneficial owners to comply with SAFE regulations, or failure by us to amend the foreign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exchange registrations of our mainland subsidiaries, could subject us to fines or legal sanctions, restrict our overseas or cross-border investment activities, limit our mainland subsidiaries’ ability to make distributions or pay dividends to us or affect our ownership structure, which could adversely affect our business and prospects.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plan participants in mainland China or us to fines and other legal or administrative sanctions.</w:t>
      </w:r>
    </w:p>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SAFE regulations, mainland China residents who participate in a stock incentive plan of an overseas listed company, subject to certain exceptions, are required to register with SAFE or its local branches through a domestic qualified agent which could be a mainland China subsidiary of such overseas listed company, and complete certain other procedures. In addition, an overseas entrusted institution shall be retained to uniformly handle matters in connection with the exercise of share options, the purchase and sale of corresponding shares or interests, and the fund transfer, etc. See “Item 4. Information on the Company—B. Business Overview—Regulations—Regulation on Labor—Employee Stock Incentive Plan.” We and our mainland China resident employees who participate in our share incentive plans are subject to these regulations since we became a public company listed in the United States. If we or any of these employees fail to comply with these regulations, we or such employees may be subject to fines and other legal or administrative sanctions.</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the State Taxation Administration, or the STA, has issued certain circulars concerning employee share options and restricted shares. Under these circulars, our mainland China resident employees who exercise share options or are granted restricted shares will be subject to individual income tax on income from wages and salaries in mainland China. Our mainland China subsidiaries have obligations to file documents related to employee share options or restricted shares with competent tax authorities and to withhold individual income taxes on income from wages and salaries. If our mainland China resident employees fail to pay or we fail to withhold their individual income taxes on income from wages and salaries, we may face sanctions imposed by PRC tax authorities or other PRC government authorities.</w:t>
      </w:r>
    </w:p>
    <w:p>
      <w:pPr>
        <w:spacing w:after="0" w:line="197"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85"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Our mainland China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20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mainland China resident enterprise for purposes of income tax in China, such classification could result in unfavorable tax consequences to us and our non-mainland China shareholders.</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tax resident status of an enterprise is subject to determination by PRC tax authorities and uncertainties remain with respect to the</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interpretation of the term “de facto management body.” If PRC tax authorities determine that we are a mainland China resident enterprise for enterprise income tax purposes, we will be subject to the enterprise income tax on our global income at the rate of 25% and we will be required to comply with mainland China enterprise income tax reporting obligations. In addition, we may be required to withhold a 10% withholding tax from interest or dividends we pay to our shareholders who are non-mainland China residents.</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a “de facto management body” within mainland China is considered a mainland China resident enterprise. The implementation rules define the term “de facto management body” as the body that exercises full and substantial control over and overall management of the business, productions, personnel, accounts and properties of an enterprise. The STA issued a circular in April 2009 and amended it in January 2014, known as Circular 82, which provides certain specific criteria for determining whether the “de facto management body” of a mainland China-controlled enterprise that is incorporated offshore is located in mainland China. Although Circular 82 only applies to offshore enterprises controlled by enterprises or enterprise groups in mainland China, not those controlled by individuals in mainland China or foreigners like us, the criteria set forth in the circular may reflect the STA’s general position on how the “de facto management body” test should be applied in determining the tax resident status of all offshore enterprises. According to Circular 82, an offshore incorporated enterprise controlled by a mainland China company or a mainland China company group will be regarded as a mainland China tax resident by virtue of having its “de facto management body” in mainland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China and will be subject to enterprise income tax in mainland China on its global income only if all of the following conditions are met: (i) the primary location of the day-to-day operational management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 resolutions, are located or maintained in mainland China; and (iv) at least 50% of voting board members or senior executives habitually reside in mainland China.</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none of our entities outside of mainland China is a mainland China resident enterprise for tax purposes. However, if PRC tax authorities determine that we are a mainland China resident enterprise for enterprise income tax purposes, we will be subject to the enterprise income tax on our global income at the rate of 25% and we will be required to comply with mainland China enterprise income tax reporting obligations. In addition, we may be required to withhold a 10% withholding tax from interest or dividends we pay to our shareholders that are non-mainland China resident enterprises. In addition, non-mainland China resident enterprise shareholders may be subject to mainland China tax at a rate of 10% on gains realized on the sale or other disposition of ordinary shares, if such income is treated as sourced from within mainland China. Furthermore, if PRC tax authorities determine that we are a mainland China resident enterprise for enterprise income tax purposes, interest or dividends paid to our non-mainland China individual shareholders and any gain realized on the transfer of ordinary shares by such holders may be subject to mainland China tax at a rate of 20% (which, in the case of interest or dividends, may be withheld at source by us), if such gains are deemed to be from mainland China sources. These rates may be reduced by an applicable tax treaty, but it is unclear whether our non-mainland China shareholders would be able to claim the benefits of any tax treaties between their country of tax residence and mainland China in the event that we are treated as a mainland China resident enterprise.</w:t>
      </w:r>
    </w:p>
    <w:p>
      <w:pPr>
        <w:spacing w:after="0" w:line="20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mainland China subsidiaries to us through our Hong Kong subsidiary.</w:t>
      </w:r>
    </w:p>
    <w:p>
      <w:pPr>
        <w:spacing w:after="0" w:line="19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ECARX Holdings is a holding company incorporated under the laws of the Cayman Islands and as such rely on dividends and other distributions on equity from our subsidiaries to satisfy part of its liquidity requirements. Pursuant to the PRC Enterprise Income Tax Law, a withholding tax rate of 10% currently applies to dividends paid by a mainland China resident enterprise to a foreign enterprise investor, unless any such foreign investor’s jurisdiction of incorporation has a tax treaty with mainland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mainland China company. Furthermore, the Administrative Measures for Non-Resident Enterprises to Enjoy Treatments under Treaties, which took effect in January 2020, require non-resident enterprises to determine whether they are qualified to enjoy the preferential tax treatment under the tax treaties and file the required report and materials with the tax authorities. There are also other conditions for enjoying the reduced withholding tax rate according to other tax rules and regulations. See “Item 5. Operating and Financial Review and Prospects—A. Operating Results—Taxation—China.”</w:t>
      </w:r>
    </w:p>
    <w:p>
      <w:pPr>
        <w:spacing w:after="0" w:line="2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most of our subsidiaries located in mainland China reported accumulated loss and therefore they had no retained earnings for offshore distribution. In the near term, we intend to re-invest all earnings, if any, generated from our mainland China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mainland China subsidiaries to our Hong Kong subsidiary.</w:t>
      </w:r>
    </w:p>
    <w:p>
      <w:pPr>
        <w:spacing w:after="0" w:line="21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mainland China resident enterprises by their non-mainland China holding companies.</w:t>
      </w:r>
    </w:p>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February 2015, the STA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non-mainland China resident enterprise conducts an “indirect transfer” by transferring the taxable assets indirectly by disposing of the equity interests of an overseas holding company, the non-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mainland China resident enterprise being the transferor, or the transferee, or the mainland China entity which directly owned the taxable assets may report to the tax authority such indirect transfer. Using a “substance over form” principle, PRC tax authorities may disregard the existence of the overseas holding company if it lacks a reasonable commercial purpose and was established for the purpose of reducing, avoiding or deferring tax in mainland China. As a result, gains derived from such indirect transfer may be subject to enterprise income tax in mainland China, and the transferee or other person who is obligated to pay for the transfer is obligated to withhold the applicable taxes, currently at a rate of 10% for the transfer of equity interests in a mainland China resident enterprise. On October 17, 2017, the STA issued Circular on Issues of Tax Withholding regarding Non-PRC Resident Enterprise Income Tax, or Circular 37, which came into effect on December 1, 2017 and was amended on June 15, 2018. Circular 37 further clarifies the practice and procedure of the withholding of nonresident enterprise income tax.</w:t>
      </w:r>
    </w:p>
    <w:p>
      <w:pPr>
        <w:spacing w:after="0" w:line="2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non-mainland China resident enterprises. PRC tax authorities may pursue such non-mainland China resident enterprises with respect to a filing or the transferees with respect to withholding obligations, and request our mainland China subsidiaries to assist in the filing. As a result, we and non-mainland China resident enterprises in such transactions may become at risk of being subject to filing obligations or being taxed under Circular 7 and Circular 37, and may be required to expend valuable resources to comply with them or to establish that we and our non-mainland China resident enterprises should not be taxed under these regulations, which may have a material adverse effect on our financial condition and results of operations.</w:t>
      </w:r>
    </w:p>
    <w:p>
      <w:pPr>
        <w:spacing w:after="0" w:line="19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law of mainland China, legal documents of mainland China companies for corporate transactions are executed using the chops or seal of the signing entity or with the signature of a legal representative whose designation is registered and filed with the relevant branch of the SAMR.</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Although we usually utilize chops to enter into contracts, the designated legal representatives of each of our mainland China subsidiaries have the apparent authority to enter into contracts on behalf of such entities without chops and bind such entities. In order to maintain the physical security of our chops and chops of our mainland China entities, we generally store these items in secured locations accessible only by the authorized personnel in the legal or finance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mainland China subsidiaries, we or such subsidiaries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13"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law of mainland China, all lease agreements are required to be registered with the local housing authorities. We presently lease several</w:t>
      </w:r>
    </w:p>
    <w:p>
      <w:pPr>
        <w:spacing w:after="0" w:line="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premises in mainland China, but these premises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the lessors of our leased properties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Meanwhile, registered mortgage of property right may over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leased properties before such properties are leased to some of our mainland China subsidiaries. In addition, some registered addresses of mainland China subsidiaries may be inconsistent with the actual operating addresses, and the actual uses of some land leased to some of our mainland China subsidiaries are inconsistent with the planned use indicated on the ownership certificate of such land. If our lease agreements are claimed as null and void by third parties who are the real owners of such leased real properties, we could be required to vacate the properties, in the event of which we could only initiate the claim against the lessors under the lease agreements for indemnities for their breach of the lease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 and the value of our securities may decline.</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cannot predict the prices at which our securities will trade. The price of our securities may not bear any relationship to any established criteria of the value of our business or prospects, and the market price of our securities may fluctuate substantially. In addition, the trading price of our securities could be subject to fluctuations in response to various factors, some of which are beyond our control. These fluctuations could cause you to lose all or part of your investment in our securities as you might be unable to sell these securities at or above the price you paid for the securities. Factors that could cause fluctuations in the trading price of our securities include the following:</w:t>
      </w:r>
    </w:p>
    <w:p>
      <w:pPr>
        <w:spacing w:after="0" w:line="5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variance in our financial performance from the expectations of securities analysts;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our projected operating and financial results;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laws or regulations applicable to our business;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our securities by us, our shareholders or our warrant holders, as well as the anticipation of lockup releases;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breaches of, disruptions to or other incidents involving our information technology systems or those of our business partners;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involvement in litigation;</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conditions or developments affecting our industry;</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trading volume of our securities;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anticipated future size and growth rate of our markets;</w:t>
      </w:r>
    </w:p>
    <w:p>
      <w:pPr>
        <w:spacing w:after="0" w:line="23"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 and</w:t>
      </w:r>
    </w:p>
    <w:p>
      <w:pPr>
        <w:spacing w:after="0" w:line="24" w:lineRule="exact"/>
        <w:rPr>
          <w:rFonts w:ascii="Times New Roman" w:cs="Times New Roman" w:eastAsia="Times New Roman" w:hAnsi="Times New Roman"/>
          <w:sz w:val="22"/>
          <w:szCs w:val="22"/>
          <w:color w:val="auto"/>
        </w:rPr>
      </w:pPr>
    </w:p>
    <w:p>
      <w:pPr>
        <w:ind w:left="660" w:right="80" w:hanging="328"/>
        <w:spacing w:after="0" w:line="244"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and market conditions; and other events or factors, including those resulting from war, incidents of terrorism, global pandemics or responses to these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Companies that have experienced volatility in the volume and market price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our securities.</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An active trading market for our securities may never develop or, if developed, may not be sustained. In addition, the price of our securities may vary due to general economic conditions and forecasts, our general business condition and the release of our financial reports. Additionally, if our securities are not listed on Nasdaq and are quoted on the OTC Bulletin Board (an inter-dealer automated quotation system for equity securities that is not a national securities exchange),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liquidity and price of our securities may be more limited than if we were quoted or listed on Nasdaq or another national securities exchange. You may be unable to sell our securities unless a market can be established or sustained.</w:t>
      </w:r>
    </w:p>
    <w:p>
      <w:pPr>
        <w:spacing w:after="0" w:line="18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equity research analysts, if they do not publish research reports about our business or if they issue unfavorable commentary or downgrade our securities, the price of our securities could decline.</w:t>
      </w:r>
    </w:p>
    <w:p>
      <w:pPr>
        <w:spacing w:after="0" w:line="18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trading market for our securities relies in part on the research reports that equity research analysts publish about us and our business. The estimates of such analysts are based upon their own opinions and may be different from our estimates or expectations. If our results of operations are below the estimates or expectations of equity research analysts and investors, the price of our securities could decline. Moreover, the price of our securities could decline if one or more equity research analysts downgrade our securities or if those analysts issue other unfavorable commentary or cease publishing reports about us or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could cause the price of our securities to fall.</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Sales of a substantial number of our securities, or the perception that those sales might occur, could result in a significant decline in the public trading price of our securities and could impair our ability to raise capital through the sale or issuance of additional equity securities. We have registered for the resale by certain of our shareholders of up to 291,679,672 Class A Ordinary Shares pursuant to certain registration rights granted to such shareholders in connection with the Business Combination. We cannot predict what effect, if any, market sales of securities held by our significant shareholders or any other shareholder will have on the market price of our Ordinary Shares. If any existing shareholder or shareholders sell a substantial amount of ordinary shares, the market price of our Ordinary Shares could decline.</w:t>
      </w:r>
    </w:p>
    <w:p>
      <w:pPr>
        <w:spacing w:after="0" w:line="20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issuance of Ordinary Shares will result in increase in the number of Class A Ordinary Shares eligible for future resale and additional dilution of the percentage ownership of our shareholders and could cause our share price to fall.</w:t>
      </w:r>
    </w:p>
    <w:p>
      <w:pPr>
        <w:spacing w:after="0" w:line="18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2026, there were 23,871,971 Warrants outstanding. Each Warrant entitles its holder to purchase one Class A Ordinary Share at an exercise price of US$11.50 per share (subject to adjustment).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October 30, 2025, we entered into the 2025 ATW Convertible Note Purchase Agreement with ATW Mobility SPV LLC under which we agreed to issue and sell pursuant to the Indenture, dated October 30, 2025 between us and U.S. Bank Trust Company, National Association, as trustee, and a First Supplemental Indenture entered into between us and the Trustee, in one or more registered direct offerings by us directly to the investor the 2025 ATW Convertible Notes for up to an aggregate principal amount of US$150,000,000 that will be convertible into Class A Ordinary Shares. We issued and sold to ATW Mobility SPV LLC a 2025 ATW Convertible Note in the original principal amount of US$50,000,000 on October 30, 2025. Upon our filing of one or more additional prospectus supplements, and our satisfaction of certain other conditions, the investor may elect to consummate additional closings of up to US$100 million in aggregate principal amount of additional notes. The 2025 ATW Convertible Notes will at all times rank pari passu with all our existing and future unsubordinated and unsecured obligations. Unless earlier converted or redeemed, the 2025 ATW Convertible Notes will mature on the twelve-month anniversary of the issuance date, subject to extension in certain circumstances as provided in the notes. The 2025 ATW Convertible Notes do not bear interest except upon the occurrence and continuance of an event of default, in which case the interest rate becomes 14.0% per annum. If a holder elects to convert or redeem all or any portion of a 2025 ATW Convertible Note prior to the maturity date, all accrued and unpaid interest on the amount being converted or redeemed will also be payable. Upon issuance, the 2025 ATW Convertible Notes amortize in installments, and we will make monthly payments commencing on the first trading day after the closing date as specified in the note, payable in cash or our Class A Ordinary Shares. If we elect to pay in cash, the principal due will include accrued and unpaid interest and any late charges on the notes, along with any applicable deferred amount and/or accelerated amount and 7% premium on the principal amount. If we elect to pay in Class A Ordinary Shares, for purposes of the monthly amortization, our Class A Ordinary Shares will be valued at a price per share equal to the lower of: (i) the conversion price then in effect; and (ii) the greater of (x) the floor price; and (y) 98% of the quotient of (A) the sum of each of lowest volume weighted average of our Class A Ordinary Shares of any 4 trading days during the 20 consecutive trading day period ending and including the trading day immediately prior to such installment date, divided by (B) 4. No 2025 ATW Convertible Notes may be converted to the extent that such conversion or exercise would cause the then holder of such note to become the beneficial owner of more than 4.99% (which percentage is subject to increase to 9.99% or decrease, at the option of such holder, except that any increase will only be effective upon 61-days’ prior notice to us) after giving effect to such conversion or exercise. Subject to this beneficial ownership cap, each holder of 2025 ATW Convertible Notes may convert all, or any part, of the outstanding principal of the notes, together with accrued and unpaid interest, and any late charges thereon, at any time, at such holder’s option, into Class A Ordinary Shares at a conversion price that is initially set at US $2.59 per share (subject to adjustment). At any time after the earlier of the holder’s receipt of an event of default notice and the holder’s becoming aware of an event of default and ending (each such period is referred to as an “Event of Default Redemption Right Period”) on the later of (x) the date such event of default is cured (or waived in writing by the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holder) and (y) tenth trading day after the holder’s receipt of an event of default notice, each holder may alternatively elect to convert all or any party of the amounts outstanding under such holder’s 2025 ATW Convertible Note at a 25% premium into Class A Ordinary Shares at the “Alternate Conversion Price” equal to the lower of (i) the conversion price then in effect; and (ii) the greater of (i) US$0.47, subject to adjustment as set forth in the 2025 ATW Convertible Notes; and (ii) 85% of the lowest volume weighted average price of the Class A Ordinary Shares during the 10 consecutive trading days immediately prior to such conversion. Subject to the rules and regulations of the Nasdaq Global Market and certain other conditions, we have the option at any time to elect mandatory conversion if the share price trades above US$3.88 (as adjusted for share splits, share dividends, recapitalizations and similar events) for 15 consecutive trading days and the aggregate daily dollar trading volume of our Class A Ordinary Shares on each trading day during such 15 consecutive trading day period is more than US$3,000,000. We have no right to effect a mandatory conversion if any event of default has occurred and is continuing. The 2025 ATW Convertible Notes contain customary affirmative and negative covenants, including certain limitations on incurrence of indebtedness and creation of liens, payment, redemption, cash dividends and investments, asset transfers, changes in the business, and obligation to maintain intellectual property rights and insurance. They also require us to maintain a minimum balance of available cash of US$25 million as of the end of each fiscal quarter. The 2025 ATW Convertible Notes prohibit us from entering into specified fundamental transactions (including, without limitation, mergers, business combinations and similar transactions) unless the successor company assumes in writing all of our obligations under the notes. In connection with a change of control of our company, each holder may require us to redeem in cash all, or any portion, of such holder’s note a 20% redemption premium on the portion of the note to be redeemed. The 2025 ATW Convertible Notes contain standard and customary events of default including but not limited: (i) the suspension from trading or the failure to list our Class A Ordinary Shares within certain time periods; (ii) failure to make payments when due under the notes; and (iii) bankruptcy or insolvency of our company. During the event of default redemption right period, each holder of 2025 ATW Convertible Notes may require us to redeem in cash all, or any portion, of the notes at a 25% premium, or, with respect to certain events of default, the share failure redemption value of the notes to be redeemed. If any bankruptcy event of default occurs, we shall immediately redeem in cash all, or any portion of the 2025 ATW Convertible Notes at a 25% redemption premium, unless each holder waives such right to receive payment.</w:t>
      </w:r>
    </w:p>
    <w:p>
      <w:pPr>
        <w:spacing w:after="0" w:line="21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On November 3, 2025, we entered into the 2025 Convertible Note Purchase Agreement with a then existing holder of the convertible notes issued by Company in October 2022, or the 2022 Notes. US$100 million of convertible notes (the “2025 Convertible Notes”) were issued pursuant to the 2025 Convertible Note Purchase Agreement and on terms similar to the 2022 Notes in connection with the refinancing of the 2022 Notes.</w:t>
      </w:r>
    </w:p>
    <w:p>
      <w:pPr>
        <w:spacing w:after="0" w:line="20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Additional Class A Ordinary Shares are issuable upon conversion of the 2025 ATW Convertible Notes (which are of an aggregate principal amount of US$50 million as of the date of this annual report) at an initial conversion price of US$2.59 per share (subject to customary adjustments on the conversion price), and 2025 Convertible Notes (which are of an aggregate principal amount of US $100 million as of the date of this annual report) at an initial conversion price of US$2.62 per share (subject to customary adjustments on the conversion price). To the extent Warrants are exercised or convertible securities are converted, additional Class A Ordinary Shares will be issued, which will result in dilution to Sales of substantial numbers of such shares in the public market could depress the market price of the Class A Ordinary Shares. Moreover, certain of these instruments contain and the terms of our future equity or debt securities may contain anti-dilution provisions, which could result in the issuance of a significantly higher number of shares upon exercise, conversion or exchange.</w:t>
      </w:r>
    </w:p>
    <w:p>
      <w:pPr>
        <w:spacing w:after="0" w:line="214" w:lineRule="exact"/>
        <w:rPr>
          <w:sz w:val="20"/>
          <w:szCs w:val="20"/>
          <w:color w:val="auto"/>
        </w:rPr>
      </w:pPr>
    </w:p>
    <w:p>
      <w:pPr>
        <w:ind w:right="260" w:firstLine="648"/>
        <w:spacing w:after="0"/>
        <w:rPr>
          <w:sz w:val="20"/>
          <w:szCs w:val="20"/>
          <w:color w:val="auto"/>
        </w:rPr>
      </w:pPr>
      <w:r>
        <w:rPr>
          <w:rFonts w:ascii="Times New Roman" w:cs="Times New Roman" w:eastAsia="Times New Roman" w:hAnsi="Times New Roman"/>
          <w:sz w:val="18"/>
          <w:szCs w:val="18"/>
          <w:color w:val="auto"/>
        </w:rPr>
        <w:t>In addition, we may need additional capital in the future to finance our operations. We may sell Ordinary Shares, convertible securities or other equity securities in one or more transactions at prices and in a manner we determine from time to time. Furthermore, we may issue additional Ordinary Shares in connection with the grant of equity awards to employees under our equity incentive plans. Any such issuance of additional share capital may cause shareholders to experience significant dilution of their ownership interests and the value of our securities to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never be in the money, and they may expire worthless.</w:t>
      </w:r>
    </w:p>
    <w:p>
      <w:pPr>
        <w:spacing w:after="0" w:line="243"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exercise price for the Warrants is US$11.50 per share (subject to adjustment). The likelihood that warrant holders will exercise the Warrants and any cash proceeds that we would receive are dependent upon the market price of our Class A Ordinary Shares, among other things. If the market price for our Ordinary Shares is less than US$11.50 per share, we believe warrant holders will be unlikely to exercise their Warrants. There is no assurance that the Warrants will be “in the money” prior to their expiration or that the warrant holders will exercise their Warrants.</w:t>
      </w:r>
    </w:p>
    <w:p>
      <w:pPr>
        <w:spacing w:after="0" w:line="204"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Public Warrants prior to their exercise at a time that is disadvantageous to you, thereby making your warrants worthless.</w:t>
      </w:r>
    </w:p>
    <w:p>
      <w:pPr>
        <w:spacing w:after="0" w:line="18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US$0.01 per warrant, provided that the last reported sale price of our Ordinary Shares equals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or exceeds US$18.00 per share (as adjusted) for any 20 trading days within a 30 trading-day period ending on the third trading day prior to the date on which we give proper notice of such redemption and there is an effective registration statement covering the issuance of Ordinary Shares issuable upon exercise of the Warrants. Redemption of the outstanding Public Warrants could force you (i) to exercise your Public Warrants and pay the exercise price therefor at a time when it may be disadvantageous for you to do so, (ii) to sell your Public Warrants at the then-current market price when you might otherwise wish to hold your Public Warrants, or (iii) to accept the nominal redemption price, which, at the time the outstanding Public Warrants are called for redemption, is likely to be substantially less than the market value of your Public Warrants.</w:t>
      </w:r>
    </w:p>
    <w:p>
      <w:pPr>
        <w:spacing w:after="0" w:line="22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Class A Ordinary Shares may consider beneficial.</w:t>
      </w:r>
    </w:p>
    <w:p>
      <w:pPr>
        <w:spacing w:after="0" w:line="17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17"/>
          <w:szCs w:val="17"/>
          <w:color w:val="auto"/>
        </w:rPr>
        <w:t>ECARX Holdings adopts a dual-class voting structure such that our ordinary share capital consists of Class A Ordinary Shares and Class B Ordinary Shares. Both Class A Ordinary Shares and Class B Ordinary Shares confer the same rights other than voting and conversion rights. Each holder of Class A Ordinary Shares is entitled to one vote per share and each holder of Class B Ordinary Shares is entitled to 10 votes per share on all matters submitted to them for a vote. Class A Ordinary Shares and Class B Ordinary Shares vote together as a single class on all matters submitted to a vote of our shareholders, except as may otherwise be required by law. The memorandum and articles of association of ECARX, as amended from time to time, may provide for the instances where the holders of Class A Ordinary Shares and Class B Ordinary Shares may vote as a separate class. Under the seventh amended and restated memorandum and articles of association of ECARX Holdings, Class A Ordinary Shares and Class B Ordinary Shares will vote as a separate class if any rights attaching to either Class A Ordinary Shares or Class B Ordinary Shares are being materially and adversely varied. Such variation requires the consent in writing of the holders of at least two-thirds of the issued Class A Ordinary Shares or Class B Ordinary Shares (as the case may be) or with the sanction of a special resolution passed at a separate meeting of the holders of Class A Ordinary Shares or Class B Ordinary Shares (as the case may be). The Companies Act (As Revised) of the Cayman Islands also provides where a compromise or arrangement is proposed between a Cayman Islands company and its shareholders or any class of them, the court may, on the application of the company or of any shareholder of the company, order a meeting of the shareholders of the company or class of shareholders, as the case may be, to be summoned in such manner as the court directs. Each Class B Ordinary Share is convertible into one Class A Ordinary Share at any time at the option of the holder thereof, whereas Class A Ordinary Shares are not convertible into Class B Ordinary Shares under any circumstances. Upon (i)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Mr. Eric Li (Shufu Li) or Mr. Ziyu Shen or their respective affiliate or</w:t>
      </w:r>
    </w:p>
    <w:p>
      <w:pPr>
        <w:spacing w:after="0" w:line="1" w:lineRule="exact"/>
        <w:rPr>
          <w:sz w:val="20"/>
          <w:szCs w:val="20"/>
          <w:color w:val="auto"/>
        </w:rPr>
      </w:pPr>
    </w:p>
    <w:p>
      <w:pPr>
        <w:ind w:right="180" w:firstLine="8"/>
        <w:spacing w:after="0" w:line="237"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Mr. Eric Li (Shufu Li) or Mr. Ziyu Shen or their respective affiliate, such Class B Ordinary Shares are automatically and immediately converted into the equal number of Class A Ordinary Shares.</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Mr. Eric Li (Li Shufu) and Mr. Ziyu Shen, founders of ECARX, collectively own all of the Class B Ordinary Shares. These Class B Ordinary Shares constitute 12.1% of our total outstanding share capital and 57.8% of the aggregate voting power of our total issued and outstanding share capital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securities.</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securities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securities in such indices and may cause shareholder advisory firms to publish negative commentary about our corporate governance practices or otherwise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seek to cause us to change our capital structure. Any such exclusion from indices could result in a less active trading market for our securities. Any actions or publications by shareholder advisory firms critical of our corporate governance practices or capital structure could also adversely affect the value of our securities.</w:t>
      </w:r>
    </w:p>
    <w:p>
      <w:pPr>
        <w:spacing w:after="0" w:line="21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the Warrants, which could limit the ability of Warrant holders to obtain a favorable judicial forum for disputes with us in connection with such Warrants.</w:t>
      </w:r>
    </w:p>
    <w:p>
      <w:pPr>
        <w:spacing w:after="0" w:line="21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The Warrant Agreement provides that, subject to applicable law,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shall be the exclusive forum for any such action, proceeding or claim.</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have waived any objection to such exclusive jurisdiction and that such courts represent an inconvenient forum. 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Warrants under the Warrant Agreement shall be deemed to have notice of and to have consented to the forum provisions of the Warrant Agreement. If any action, which is referred to as a “foreign action,” the subject matter of which is within the scope of the forum provisions of the Warrant Agreement, is filed in a court other than a court of the State of New York or the United States District Court for the Southern District of New York in the name of any holder of the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holder in any such enforcement action by service upon such warrant holder’s counsel in the foreign action as agent for such holder.</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choice-of-forum provision limits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Act, Nasdaq Global Market listing requirements and other applicable securities rules and regulations. As such, we incur legal, accounting and other expenses, and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spacing w:after="0" w:line="21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continuous scrutiny of securities analysts and investors. The need to establish the corporate infrastructure demanded of a public company may divert the management’s attention from implementing our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audit committee, and qualified executive officers.</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9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it cannot be certain if the reduced SEC reporting requirements applicable to emerging growth companies will make our Class A Ordinary Shares and Warrants less attractive to investors, which could have a material and adverse effect on us, including our growth prospects.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27" w:lineRule="exact"/>
        <w:rPr>
          <w:sz w:val="20"/>
          <w:szCs w:val="20"/>
          <w:color w:val="auto"/>
        </w:rPr>
      </w:pPr>
    </w:p>
    <w:p>
      <w:pPr>
        <w:ind w:firstLine="8"/>
        <w:spacing w:after="0" w:line="252"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Business Combination, (b) in which we have total annual gross revenue of at least US$1.235 billion or (c) in which we are deemed to be a large accelerated filer, which means the market value of our common equity held by non-affiliates exceeds US$700 million as of the last business day of our prior second fiscal quarter, and (ii) the date on which we issued more than US$1.0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spacing w:after="0" w:line="21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we have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19"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spacing w:after="0" w:line="16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deem important or at the same time if we were not a foreign private issuer. We cannot predict if investors will find our securities less attractive because we rely on these exemptions. If some investors find our securities less attractive as a result, there may be a less active trading market and share price for our securities may be more volatile.</w:t>
      </w:r>
    </w:p>
    <w:p>
      <w:pPr>
        <w:spacing w:after="0" w:line="18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within the meaning of the rules under the Exchange Act, and as such we are exempt from certain provisions applicable to United States domestic public companies.</w:t>
      </w:r>
    </w:p>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 (i) the rules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spacing w:after="0" w:line="21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9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ECARX Holdings is an exempted company limited by shares incorporated under the laws of the Cayman Islands and we conduct a majority of our operations through our subsidiary, ECARX, outside the United States. Substantially all of our assets are located outside the United States. A majority of our officers and directors reside outside the United States and a substantial portion of the assets of those persons are located outside of the United States. As a result, it may be difficult for investors to effect service of process within the United States upon our directors or officers, or to enforce judgments obtained in the United States courts against our directors or officers.</w:t>
      </w:r>
    </w:p>
    <w:p>
      <w:pPr>
        <w:spacing w:after="0" w:line="21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the memorandum and articles of association of ECARX Holdings, as amended from time to time, the Companies Act (As Revised) of the Cayman Islands and the common law of the Cayman Islands. The rights of shareholders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different from what they would be under statutes or judicial precedent in some jurisdictions in the United States. In particular, the Cayman Islands has a different body of securities laws than the United States and some U.S. states, such as Delaware, may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2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Grand Court of the Cayman Islands may not (i) recognize or enforce against us judgments of courts of the United States predicated upon the civil liability provisions of the federal securities laws of the United States or any state; and (ii) in original actions brought in the Cayman Islands, impose liabilities against us predicated upon the civil liability provisions of the federal securities laws of the United States or any state, so far as the liabilities imposed by those provisions are penal in nature. Although there is no statutory enforcement in the Cayman Islands of judgments obtained in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the judgment of the competent foreign court imposes upon the judgment debtor an obligation to pay a</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liquidated sum for which such judgment has been given, provided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7"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obtain or inspect copies of register of members or corporate records (other than the memorandum and articles of association, the register of mortgages and charges and any special resolutions passed by shareholders) of these companies. Under Cayman Islands law, the names of current directors can be obtained from a search conducted at the Registrar of Companies in the Cayman Islands. Pursuant to the seventh amended and restated memorandum and articles of association of ECARX Holdings, our directors shall from time to time determine whether and to what extent and at what time and places and under what conditions or articles the accounts and books of us or any of them shall be open to the inspection of our shareholders not being directors, and none of our shareholder (not being a director) shall have any right of inspection of any account or book or document of us except as conferred by law or authorized by the directors or by special resolution of our shareholders. This may make it more difficult for you to obtain the information needed to establish any facts necessary for a shareholder motion or to solicit proxies from other shareholders in connection with a proxy contest.</w:t>
      </w:r>
    </w:p>
    <w:p>
      <w:pPr>
        <w:spacing w:after="0" w:line="21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As a foreign private issuer whose securities are listed on Nasdaq, we are permitted to follow certain home country corporate governance practices in lieu of the requirements of the Nasdaq Rules pursuant to Nasdaq Rule 5615(a)(3), which provides for such exemption to compliance with the Nasdaq Rule 5600 Series.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 For additional information, please see the section entitled “Item 6. Directors, Senior Management and Employees––Enforceability of Civil Liability and Agent for Service of Process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for the foreseeable future.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to retain most, if not all, of our available funds and any future earnings to fund the development and growth of our business. As a result, it is not expected that we will pay any cash dividends in the foreseeable future.</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will have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our board of directors. Accordingly, you may need to rely on sales of our securities after price appreciation, which may never occur, as the only way to realize any future gains on your investment. There is no guarantee that our securities will appreciate in value or that the market price of our securities will not decline.</w:t>
      </w:r>
    </w:p>
    <w:p>
      <w:pPr>
        <w:spacing w:after="0" w:line="19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securities.</w:t>
      </w:r>
    </w:p>
    <w:p>
      <w:pPr>
        <w:spacing w:after="0" w:line="18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seventh amended and restated memorandum and articles of association of ECARX Holdings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Preferred shares could be issued quickly with terms calculated to delay or prevent a change in control of our company or make removal of management more difficult. If our board 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right="60"/>
        <w:spacing w:after="0" w:line="266" w:lineRule="auto"/>
        <w:rPr>
          <w:sz w:val="20"/>
          <w:szCs w:val="20"/>
          <w:color w:val="auto"/>
        </w:rPr>
      </w:pPr>
      <w:r>
        <w:rPr>
          <w:rFonts w:ascii="Times New Roman" w:cs="Times New Roman" w:eastAsia="Times New Roman" w:hAnsi="Times New Roman"/>
          <w:sz w:val="18"/>
          <w:szCs w:val="18"/>
          <w:color w:val="auto"/>
        </w:rPr>
        <w:t>directors decides to issue preferred shares, the price of our securities may fall and the voting and other rights of the holders of our Class A Ordinary Shares may be materially and adversely affected.</w:t>
      </w:r>
    </w:p>
    <w:p>
      <w:pPr>
        <w:spacing w:after="0" w:line="18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or become a passive foreign investment company, or PFIC, for United States federal income tax purposes for any taxable year, which could result in adverse U.S. federal income tax consequences to U.S. Holders.</w:t>
      </w:r>
    </w:p>
    <w:p>
      <w:pPr>
        <w:spacing w:after="0" w:line="185"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generally be a PFIC for U.S. federal income tax purposes for any taxable year if either (i) at least 75% of its gross income for such year is passive income or (ii) at least 50% of the value of its assets (generally based on an average of the quarterly values of the assets) during such year is attributable to assets that produce passive income or are held for the production of passive income. Passive income generally includes, among other things, dividends, interest, rents, royalties, and gains from the disposition of passive assets. We will be treated as owning its proportionate share of the assets and earning its proportionate share of the income of any other entity treated as a corporation for U.S. federal income tax purposes in which we own, directly or indirectly, 25% or more (by value) of the stock.</w:t>
      </w:r>
    </w:p>
    <w:p>
      <w:pPr>
        <w:spacing w:after="0" w:line="21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the composition of our income and assets, including goodwill and other unbooked intangibles, we do not believe we were a PFIC for our taxable year ended December 31, 2025 and we do not presently expect to be a PFIC for the current taxable year or the foreseeable future. However, this conclusion is a factual determination that must be made annually at the close of each taxable year on the basis of the composition of our income and assets and our subsidiaries’ income and assets and, thus, is subject to change. Furthermore, fluctuations in the market price of our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Class A Ordinary Shares from time to time (which may be volatile). Accordingly, there can be no assurance that we or any of our subsidiaries will not be a PFIC for any taxable year. If we or any of our subsidiaries is a PFIC for any taxable year, or portion thereof, that is included in the holding period of a beneficial owner of our Class A Ordinary Shares or Warrants that is a U.S. Holder, such U.S. Holder may be subject to certain adverse U.S. federal income tax consequences and may be subject to additional reporting requirements. For more information, please see “Item 10. Additional Information—E. Taxation—U.S. Federal Income Tax Considerations—Passive Foreign Investment Company Status.” U.S. Holders should consult their tax advisors regarding the possible application of the PFIC rules to an investment in our Ordinary Shares or Warrants.</w:t>
      </w:r>
    </w:p>
    <w:p>
      <w:pPr>
        <w:spacing w:after="0" w:line="200" w:lineRule="exact"/>
        <w:rPr>
          <w:sz w:val="20"/>
          <w:szCs w:val="20"/>
          <w:color w:val="auto"/>
        </w:rPr>
      </w:pP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company was founded in 2017 by Mr. Eric Li (Li Shufu) and Mr. Ziyu Shen.</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ECARX Holdings was incorporated as an exempted company in accordance with the laws and regulations of the Cayman Islands on November 12, 2019. ECARX Holdings is not an operating company but a Cayman Islands holding company, with operations in China being conducted through our PRC subsidiaries. Prior to 2022, we conducted our operations in China through such subsidiaries as well as through Hubei ECARX, our former VIE based in China. However, we restructured our company in the beginning of 2022 such that we no longer have any VIE. We refer to this series of transactions in this annual report as the Restructuring. See “Item 4. Information on the Company—C. Organizational Structure.”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December 20, 2022, we consummated the Business Combination with COVA, pursuant to the Agreement and Plan of Merger, dated as of May 26, 2022. COVA was a blank check company incorporated for the purpose of effecting a merger, share exchange, asset acquisition, share purchase, reorganization or similar business combination with one or more businesses or entities. On December 21, 2022, our Class A Ordinary Shares and Warrants were listed on The Nasdaq Global Market under the symbol “ECX” and “ECXWW,” respectively.</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June 2023, we increased our equity interest in JICA Intelligent, a technology company focusing on developing intelligent automotive products, from 50% to 70%. JICA Intelligent offers full-stack research and development capabilities for autonomous driving, covering the end-to-end process of development, such as intelligent cockpit, intelligent driving, peripheral products, sensor perception, decision-making algorithms, vehicle control strategies, underlying systems, hardware development, and test verification.</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November 2023, we entered into a strategic cooperation agreement and a licensing agreement with Hubei Xingji Meizu Group Co., Ltd., or Xingji Meizu. Pursuant to the strategic cooperation agreement, Xingji Meizu and we will</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collaborate in the development and commercialization of the Flyme Auto intelligent cockpit solutions for three years. Pursuant to the licensing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we obtained certain rights to distribute the Flyme Auto intelligent cockpit solutions worldwide for three years with a total licensing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US$21 million payable by us in installments. In May 2025, the parties agreed to extend the license for an additional term of 8 years to November 2033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exclusive basis for no additional consideration.</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we signed a strategic partnership agreement with Black Sesame Technologies, a leading automotive-grade SoC and SoC-based intelligent vehicle solution provider. We will collaborate closely with Black Sesame Technologies to integrate our research and development, product, and technical resources with those of Black Sesame Technologies. The strategic partnership aims at developing cutting-edge ADAS solutions that drive business growth and solution deployment for both parties, fostering the development of an integrated intelligent driving ecosystem.</w:t>
      </w:r>
    </w:p>
    <w:p>
      <w:pPr>
        <w:spacing w:after="0" w:line="20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acquired a controlling equity interest in Suzhou Photon-Matrix Optoelectronics Technology Co., Ltd., positioning as a provider of new components, including LiDAR, for intelligent vehicles more broadly. Suzhou Photon-Matrix is currently involved in research and development activities while also pursuing business opportunities in the intelligent vehicles and autonomous driving industry.</w:t>
      </w:r>
    </w:p>
    <w:p>
      <w:pPr>
        <w:spacing w:after="0" w:line="20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August 2024, we sold our minority stake of 40% in HaleyTek AB, or HaleyTek, to Volvo Cars while maintaining our collaboration with Volvo Cars and HaleyTek on the development of automotive software.</w:t>
      </w:r>
    </w:p>
    <w:p>
      <w:pPr>
        <w:spacing w:after="0" w:line="17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started in-house production at our Hangzhou Fuyang facility since April 2024, marking a critical milestone in the Company’s strategy to vertically integrate our production and supply chain capabilities. In July 2024, we acquired Hubei Dongjun Automotive Electronic Technology Co., Ltd., which marks a significant step towards building our in-house production capabilities in China.</w:t>
      </w:r>
    </w:p>
    <w:p>
      <w:pPr>
        <w:spacing w:after="0" w:line="21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2024, our board of directors authorized a share repurchase program under which we may repurchase up to US$20,000,000 of our Ordinary Shares until the close of business on September 30, 2025, U.S. Eastern Time. Subsequently, the program was extended up to March 31, 2026 with an increased aggregate limit of US$40,00,000. As of February 28, 2026, the Company has repurchased 25,558,141 shares, in total, at an average price of US$1.4721 per share.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mailing address of our principal executive office is Second Floor North, International House, 1 St. Katharine's Way, London E1W 1UN, United Kingdom, and its phone number is +4420 3011 0334. Our corporate website address is https://www.ecarxgroup.com/. The information contained in, or accessible through, our website does not constitute a part of this annual report.</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distinguish ourselves by developing full-stack technology solutions that accelerate the future of software-defined vehicles. Our business is focused on three core product lines: Intelligent Cockpit Platforms, Intelligent Driving Platforms, and Fusion Platforms (Vehicle Central Computing). Underpinning these platforms is our strong, full-stack technical capability ranging from silicon (System-on-a-Chip or “SoC”) to software (Cloudpeak), allowing us to continuously improve the in-car user experience.</w:t>
      </w:r>
    </w:p>
    <w:p>
      <w:pPr>
        <w:spacing w:after="0" w:line="16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have established a successful track record since our inception. As of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xml:space="preserve">, there were over 11 million vehicles on the road with ECARX products and solutions onboard. As of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we had a team of over 1,400 based in 13 major locations in China, UK, USA, Singapore, Malaysia, Sweden and Germany, approximately 70% of whom are involved in research and development, providing the foundation for us to serve 28 vehicle brands across the globe.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Computing Platforms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Intelligent Cockpit Platforms</w:t>
      </w:r>
    </w:p>
    <w:p>
      <w:pPr>
        <w:spacing w:after="0" w:line="256"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We offer a scalable cockpit portfolio ranging from cost-efficient entry-level solutions to high-end flagship platforms. We are one of the few players in the industry who can achieve full-stack capability from silicon to cloud, currently serving 18 global and local OEMs across 28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Venado Series Platform</w:t>
      </w:r>
    </w:p>
    <w:p>
      <w:pPr>
        <w:spacing w:after="0" w:line="237" w:lineRule="exact"/>
        <w:rPr>
          <w:sz w:val="20"/>
          <w:szCs w:val="20"/>
          <w:color w:val="auto"/>
        </w:rPr>
      </w:pPr>
    </w:p>
    <w:p>
      <w:pPr>
        <w:ind w:right="60" w:firstLine="648"/>
        <w:spacing w:after="0" w:line="264" w:lineRule="auto"/>
        <w:rPr>
          <w:sz w:val="20"/>
          <w:szCs w:val="20"/>
          <w:color w:val="auto"/>
        </w:rPr>
      </w:pPr>
      <w:r>
        <w:rPr>
          <w:rFonts w:ascii="Arial" w:cs="Arial" w:eastAsia="Arial" w:hAnsi="Arial"/>
          <w:sz w:val="20"/>
          <w:szCs w:val="20"/>
          <w:color w:val="auto"/>
        </w:rPr>
        <w:t>T</w:t>
      </w:r>
      <w:r>
        <w:rPr>
          <w:rFonts w:ascii="Times New Roman" w:cs="Times New Roman" w:eastAsia="Times New Roman" w:hAnsi="Times New Roman"/>
          <w:sz w:val="17"/>
          <w:szCs w:val="17"/>
          <w:color w:val="auto"/>
        </w:rPr>
        <w:t>he Venado series is a cost-efficient intelligent cockpit computing platform designed to support a range of advanced digital cockpit functions. We</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also offer the Venado as computing module to the market and enable other partners to build systems for their customers. Since its launch in 2021, the platform has been deployed in Geely ecosystem models, Changan Mazda, and Dongfeng Peugeot-Citroën models, achieving a cumulative shipments exceeding 3.5 million units.</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Makalu Computing Platform</w:t>
      </w:r>
    </w:p>
    <w:p>
      <w:pPr>
        <w:spacing w:after="0" w:line="254"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Makalu computing platform is a high-performance intelligent cockpit solution powered by AMD Ryzen™ Embedded V2000 processors and AMD Radeon™ RX 6000 series GPUs. Makalu is designed to support advanced digital cockpit experiences, including immersive graphics, high-performance computing and customizable user interfaces, addressing the increasing demand for connected and feature-rich in-vehicle user experiences.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Qualcomm-based Platforms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collaborate with Qualcomm to offer flexible SoC portfolios for global markets.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Galena Computing Platforms (SA8155)</w:t>
      </w:r>
    </w:p>
    <w:p>
      <w:pPr>
        <w:spacing w:after="0" w:line="241"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Empowered with Qualcomm Snapdragon® SA8155 SoCs, we collaborate with smart and Lynk &amp; Co to create the unique design and user experience. This platform integrates the Flyme Auto operating system and Google Automotive Services (GAS).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Pikes Computing Platform (SA8295)</w:t>
      </w:r>
    </w:p>
    <w:p>
      <w:pPr>
        <w:spacing w:after="0" w:line="24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offer a high-end flagship cockpit platform based on SA8295 (5nm) SoC, this platform allows us to service OEMs worldwide with a single platform integrating Flyme Auto 2.0 and multiple ecosystems. It features advancements in user experience, such as multi-user displays and deeper AI integration. It has been deployed on Geely M9 and Lynk&amp;Co Z10, 07&amp;08.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Intelligent Driving (ADAS) Platforms</w:t>
      </w:r>
    </w:p>
    <w:p>
      <w:pPr>
        <w:spacing w:after="0" w:line="25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offer scalable ADAS solutions covering parking assistance systems (PAS), smart camera solutions and ADAS domain controllers and supporting functionality ranging from active safety to L2 / L2+ / L2++, with roadmap support toward higher levels of automated driving. We also support multiple ADAS SoC ecosystems, including China-based suppliers (SiEngine, Black Sesame Technologies) and global suppliers (NVIDIA, Mobileye and Qualcomm).</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Black Sesame-based Platforms</w:t>
      </w:r>
    </w:p>
    <w:p>
      <w:pPr>
        <w:spacing w:after="0" w:line="24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 enhance the competitiveness of the ECARX Skyland solution, ECARX adopted a dual-SoC architecture to integrate L2+ driving and parking functions on a single platform. The platform supports expressway NOA based on high-definition(HD) maps and entered mass production in 2023. In addition, we have deployed Parking Assistance Units (PAS) based on a single A1000LE SoC across multiple vehicle models. These platforms entered mass production in 2025 and support surround-view (AVM) and automated parking assistance (APA) functions.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AD1000 Platform</w:t>
      </w:r>
    </w:p>
    <w:p>
      <w:pPr>
        <w:spacing w:after="0" w:line="24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ECARX AD1000 ADAS domain controller platform is based on the SiEngine SoC, featuring AI computing capability of up to 256 TOPS and hardware-level functional safety support up to ASIL D. The platform supports a multi-camera perception architecture with up to 11 cameras and is designed to support advanced intelligent driving functions, including urban NOA and highway pilot assistance (HPA) without reliance on HD maps. The platform architecture is designed to support end-to-end (E2E) and vision-led algorithmic approaches as part of ECARX’s intelligent driving technology roadmap. The AD1000 platform can be further scaled through a dual-chip configuration to support L3/L4 ADAS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Lidar products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ECARX also has in-house lidar products, the solid-state short-range lidar and the semi-solid rotating mirror long-range lidar.</w:t>
      </w:r>
    </w:p>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June 25, 2025 we signed a partnership agreement with a leading global developer of robotic lawn mowers to integrate ECARX’s cutting-edge lidar solution.</w:t>
      </w:r>
    </w:p>
    <w:p>
      <w:pPr>
        <w:spacing w:after="0" w:line="189" w:lineRule="exact"/>
        <w:rPr>
          <w:sz w:val="20"/>
          <w:szCs w:val="20"/>
          <w:color w:val="auto"/>
        </w:rPr>
      </w:pPr>
    </w:p>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ECARX’s proprietary solid-state 3D short-range lidar provides the high-precision environmental perception essential for autonomous robot operations. The lidar incorporates a customized light source and a high-resolution sensor for precise environmental mapping — critical for advanced obstacle avoidance systems used in robotic navigation, object manipulation, and human-machine collaboration.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Fusion Platforms (Vehicle Central Computing)</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intelligent cockpit functions expand and intelligent driving capabilities mature, OEMs are increasingly adopting centralized vehicle computing architectures that integrate cockpit and driving functions.</w:t>
      </w:r>
    </w:p>
    <w:p>
      <w:pPr>
        <w:ind w:right="500"/>
        <w:spacing w:after="0" w:line="260" w:lineRule="auto"/>
        <w:rPr>
          <w:sz w:val="20"/>
          <w:szCs w:val="20"/>
          <w:color w:val="auto"/>
        </w:rPr>
      </w:pPr>
      <w:r>
        <w:rPr>
          <w:rFonts w:ascii="Times New Roman" w:cs="Times New Roman" w:eastAsia="Times New Roman" w:hAnsi="Times New Roman"/>
          <w:sz w:val="18"/>
          <w:szCs w:val="18"/>
          <w:color w:val="auto"/>
        </w:rPr>
        <w:t>We are an early mover in fusion platforms, offering both “OneBox” and “OneChip” solutions. The fusion platform supports flexible E/E architecture integration, leveraging ECARX’s deep expertise in both China and global automotive architectures.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Antora® Series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Antora® 1000 platform upgrades ECARX’s smart cockpit and fusion computing platform into a vehicle central computing platform, integrating cockpit, driving and parking-related computing functions. The platform is designed to improve system-level cost efficiency by high integration, making it suitable for entry to mid-range vehicle models. In May 2024, Antora® 1000 was deployed on Geely Galaxy E5, supporting integrated around-view monitoring (AVM) and automated parking assistance (APA) through centralized computing and NPU resource utilization.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competitiveness is driven by our core technologies across both silicon and software.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Silicone capability</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SoC core modules have been a key component of ECARX’s technology portfolio since our inception. We distinguish ourselves by engaging in co-defined solution with semiconductor partners, deep customization and optimization to ensure our platforms are both robust and cost-efficient.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Deep Optimization for Performance and Efficiency</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collaborate closely with chip partners to customize automotive-grade core modules. Our engineering expertise extends to the rigorous optimization of the Board Support Package (BSP) and Hypervisor technologies, as well as the integration of critical functional safety and cybersecurity protocols. We further enhance these SoCs by integrating additional key components, including power management integrated circuits, storage modules, and peripheral interface units, as well as associated toolchains and algorithms, to form complete SoC core modules suitable for automotive applications.</w:t>
      </w:r>
    </w:p>
    <w:p>
      <w:pPr>
        <w:spacing w:after="0" w:line="20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This comprehensive approach allows us to provide a strong, high-performance, and cost-efficient computing platform that delivers superior system compatibility and vehicle-level stability compared to off-the-shelf solutions.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Co-Defined Solutions with SiEngine</w:t>
      </w:r>
    </w:p>
    <w:p>
      <w:pPr>
        <w:spacing w:after="0" w:line="25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Beyond standard customization, we leverage our strategic partnership with SiEngine to co-define silicon solutions. This collaboration enables us to bring differentiated, proprietary solutions to the market that are purpose-built to support our full-stack software architecture and meet specific OEM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(Cloudpeak) Capability</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ECARX Cloudpeak is a full-stack software platform built for the software-defined vehicle era, spanning from BSP to applications, AI and</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connected services. It has been deployed across 40+ global markets, helping OEMs shorten development cycles, reduce cost, and deliver continuous feature updates.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Android-first Cockpit</w:t>
      </w:r>
    </w:p>
    <w:p>
      <w:pPr>
        <w:spacing w:after="0" w:line="241" w:lineRule="exact"/>
        <w:rPr>
          <w:sz w:val="20"/>
          <w:szCs w:val="20"/>
          <w:color w:val="auto"/>
        </w:rPr>
      </w:pPr>
    </w:p>
    <w:p>
      <w:pPr>
        <w:ind w:right="40" w:firstLine="567"/>
        <w:spacing w:after="0" w:line="220" w:lineRule="exact"/>
        <w:rPr>
          <w:sz w:val="20"/>
          <w:szCs w:val="20"/>
          <w:color w:val="auto"/>
        </w:rPr>
      </w:pPr>
      <w:r>
        <w:rPr>
          <w:rFonts w:ascii="Times New Roman" w:cs="Times New Roman" w:eastAsia="Times New Roman" w:hAnsi="Times New Roman"/>
          <w:sz w:val="18"/>
          <w:szCs w:val="18"/>
          <w:color w:val="auto"/>
        </w:rPr>
        <w:t>Cloudpeak is architected around an Android-first philosophy, with Android Automotive OS at the core of the in-vehicle infotainment experience. Built on AAOS, Cloudpeak consolidates years of intelligent cockpit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into reusable, modular platform capabilities that bridge app ecosystems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vehicle scenarios. Through platformization and standardized components/toolchains—from vehicle control interfaces to connectivity, media, navigation, voice and AI—Cloudpeak enables configurable, repeatable delivery across vehicle lines, regional ecosystems, and hardware variants, improving reuse, consistency,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for mass production.</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Multi-silicon + Cockpit/Fusion/ADAS Expertise</w:t>
      </w:r>
    </w:p>
    <w:p>
      <w:pPr>
        <w:spacing w:after="0" w:line="241" w:lineRule="exact"/>
        <w:rPr>
          <w:sz w:val="20"/>
          <w:szCs w:val="20"/>
          <w:color w:val="auto"/>
        </w:rPr>
      </w:pPr>
    </w:p>
    <w:p>
      <w:pPr>
        <w:ind w:right="20" w:firstLine="567"/>
        <w:spacing w:after="0" w:line="220" w:lineRule="exact"/>
        <w:rPr>
          <w:sz w:val="20"/>
          <w:szCs w:val="20"/>
          <w:color w:val="auto"/>
        </w:rPr>
      </w:pPr>
      <w:r>
        <w:rPr>
          <w:rFonts w:ascii="Times New Roman" w:cs="Times New Roman" w:eastAsia="Times New Roman" w:hAnsi="Times New Roman"/>
          <w:sz w:val="18"/>
          <w:szCs w:val="18"/>
          <w:color w:val="auto"/>
        </w:rPr>
        <w:t>Cloudpeak is proven across major automotive compute platforms, including Qualcomm SA8155/SA8295 and the latest Gen5 (SA8397/SA8797), as well as the SiEngine Antora family and MediaTek. We have built strong hardware platform capabilities that span bring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integration across multiple operating systems,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throughput vehicle signal pipelines and standardized interfaces, enabling rapid adaptation across different ECU architectures and vehicle configurations. Leveraging virtualization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domain middleware, Cloudpeak supports secure workload consolidation and deterministic collaboration between cockpit functions and fusion/ADAS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applications.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GAS Compliance Recognized by Google</w:t>
      </w:r>
    </w:p>
    <w:p>
      <w:pPr>
        <w:spacing w:after="0" w:line="200" w:lineRule="exact"/>
        <w:rPr>
          <w:sz w:val="20"/>
          <w:szCs w:val="20"/>
          <w:color w:val="auto"/>
        </w:rPr>
      </w:pPr>
    </w:p>
    <w:p>
      <w:pPr>
        <w:ind w:right="60" w:firstLine="567"/>
        <w:spacing w:after="0" w:line="220" w:lineRule="exact"/>
        <w:rPr>
          <w:sz w:val="20"/>
          <w:szCs w:val="20"/>
          <w:color w:val="auto"/>
        </w:rPr>
      </w:pPr>
      <w:r>
        <w:rPr>
          <w:rFonts w:ascii="Times New Roman" w:cs="Times New Roman" w:eastAsia="Times New Roman" w:hAnsi="Times New Roman"/>
          <w:sz w:val="18"/>
          <w:szCs w:val="18"/>
          <w:color w:val="auto"/>
        </w:rPr>
        <w:t>Cloudpeak has achieved multiple CTS and GAS certifications, demonstrating production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maturity in meeting Google’s compliance requirements while sustaining continuous updates over the vehicle lifecycle. This capability is underpinned by a standards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engineering approach and a disciplined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patch policy”—prioritizing native AAOS mechanisms (stable APIs, overlays and standard components), extending rather than modifying core framework code, and upstreaming generic fixes and enhancements to AOSP when necessary. As a result, Cloudpeak reduces compliance risk and upgrade friction, enabling OEMs to scale globally with a Google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compatible cockpit platform. These practices and capabilities have been recognized by Google in a Whitepaper.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Flyme Auto Integration</w:t>
      </w:r>
    </w:p>
    <w:p>
      <w:pPr>
        <w:spacing w:after="0" w:line="254" w:lineRule="exact"/>
        <w:rPr>
          <w:sz w:val="20"/>
          <w:szCs w:val="20"/>
          <w:color w:val="auto"/>
        </w:rPr>
      </w:pPr>
    </w:p>
    <w:p>
      <w:pPr>
        <w:ind w:right="100" w:firstLine="567"/>
        <w:spacing w:after="0" w:line="217" w:lineRule="exact"/>
        <w:rPr>
          <w:sz w:val="20"/>
          <w:szCs w:val="20"/>
          <w:color w:val="auto"/>
        </w:rPr>
      </w:pPr>
      <w:r>
        <w:rPr>
          <w:rFonts w:ascii="Times New Roman" w:cs="Times New Roman" w:eastAsia="Times New Roman" w:hAnsi="Times New Roman"/>
          <w:sz w:val="18"/>
          <w:szCs w:val="18"/>
          <w:color w:val="auto"/>
        </w:rPr>
        <w:t>As a core part of the ECARX ecosystem, Flyme Auto is deeply integrated into Cloudpeak’s architecture and interface layer to deliver a cohesive, premium cockpit experience at scale. It enriches the application layer across Launcher &amp; System UI, navigation, voice &amp; AI, camera and connectivity, while leveraging Cloudpeak’s standardized APIs to enable extensibility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compatibility in a compliant manner. On the user side, Flyme Auto brings a refined HMI with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form desktops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time/map/wallpaper),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window multitasking for lightweight scenarios, car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optimized gesture interactions, and rich personalization such as widgets, dock customization and quick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access cards.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Agentic AI as the Next Core Experience</w:t>
      </w:r>
    </w:p>
    <w:p>
      <w:pPr>
        <w:spacing w:after="0" w:line="254" w:lineRule="exact"/>
        <w:rPr>
          <w:sz w:val="20"/>
          <w:szCs w:val="20"/>
          <w:color w:val="auto"/>
        </w:rPr>
      </w:pPr>
    </w:p>
    <w:p>
      <w:pPr>
        <w:ind w:right="440" w:firstLine="567"/>
        <w:spacing w:after="0" w:line="250" w:lineRule="auto"/>
        <w:rPr>
          <w:sz w:val="20"/>
          <w:szCs w:val="20"/>
          <w:color w:val="auto"/>
        </w:rPr>
      </w:pPr>
      <w:r>
        <w:rPr>
          <w:rFonts w:ascii="Times New Roman" w:cs="Times New Roman" w:eastAsia="Times New Roman" w:hAnsi="Times New Roman"/>
          <w:sz w:val="18"/>
          <w:szCs w:val="18"/>
          <w:color w:val="auto"/>
        </w:rPr>
        <w:t>Building on open-source large language models, Cloudpeak focuses on two core AI capabilities. First, it fine-tunes foundation models with automotive tasks and driving scenarios to significantly improve accuracy in in-vehicle interactions and task execution. Second, it provides an agent platform that enables the creation, orchestration, and management of AI agents, including skill integration and tool invocation, allowing the system to handle complex in-vehicle services through coordinated agent workflows.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approximately 70% of our full-time employees belong to the research and development division.</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centers currently span across Europe and APAC. We established our product development center in Gothenburg, Sweden in December 2020. This team is primarily responsible for digital cockpit operating system development, including the management of development and delivery. In 2023, we opened an engineering center in Stuttgart, Germany.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focus on our core technology relating to the development of vehicle intelligence and provides us with a competitive edge as we seek additional business with new and existing customers. Our research and development team has extensive experience in automotive and technology industries and is primarily working in three workstreams comprising digital cockpit product development teams, super brain product development team, and automated driving control unit product development team.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regard our patents, trademarks, copyrights, domain names, know-how, proprietary technologies, and similar intellectual property as critical to our success.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we had 779 registered patents and 797 pending patent applications globally.</w:t>
      </w:r>
    </w:p>
    <w:p>
      <w:pPr>
        <w:spacing w:after="0" w:line="23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remain at the forefront of innovation in the industries in which we operate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 (including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 It is equally important for us to operate without infringing, misappropriating, or otherwise violating the intellectual property or proprietary rights of others. From time to time, third parties may initiate litigation against us alleging infringement of their proprietary rights. A comprehensive discussion on risks relating to intellectual property is provided under the sections titled “Risk Factors — Risks Related to Our Business and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Investment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Guidance Catalog of Industries for Foreign Investment</w:t>
      </w:r>
    </w:p>
    <w:p>
      <w:pPr>
        <w:spacing w:after="0" w:line="24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Investments in mainland China by foreign investors and foreign-invested enterprises were regulated by the Guidance Catalog of Industries for Foreign Investment jointly promulgated by the Ministry of Commerce and the NDRC on June 28, 1995, and latest amended on June 28, 2017. The Guidance Catalog of Industries for Foreign Investment was repealed by (i) the Special Management Measures (Negative List) for the Access of Foreign Investment (2024 Version), or the 2024 Negative List, which was jointly promulgated by the Ministry of Commerce and the NDRC on September 6, 2024, and took effect on November 11, 2024, and (ii) the Catalog of Industries for Encouraged Foreign Investment (2025 Version), or the 2025 Encouraged Catalog, which was jointly promulgated by the Ministry of Commerce and the NDRC on December 15, 2025, and took effect on February 1, 2026. The 2025 Encouraged Catalog and the 2024 Negative List set out the industries and economic activities in which foreign investment in mainland China is encouraged, restricted, or prohibited.</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Industries not listed in the 2024 Negative List are generally considered to fall under a fourth, “permitted,” category. Foreign-owned enterprises are generally allowed to be wholly established in both encouraged and permitted industries. In contrast, some restricted industries are limited to equity or contractual joint ventures, and in some cases Chinese partners are required to hold the majority interests in such joint ventures. In addition, foreign investment in projects falling into the restricted category is subject to government approvals. For example, in certain value-added telecommunications services, foreign equity is capped at 50%, except in sectors such as e-commerce, domestic multi-party communications, store-and-forward, call centers. In the case of basic telecommunications services, control must remain with the Chinese party. Obtaining an ICP license, which is necessary for value-added telecommunications services for internet content provider, falls under the restricted category. Foreign investment is strictly prohibited for industries falling within the prohibited category, such as geodetic surveying, marine surveying and mapping, aerial photography for surveying and mapping, ground moving surveying and mapping, surveying and mapping of administrative boundaries and other mapping related fields. Prior to 2022, we conducted surveying and mapping services and ICP businesses through Hubei ECARX, the former VIE. We effected the Restructuring in 2022 and terminated the VIE corporate structure. The termination was due to the increased regulatory scrutiny over such structure and because the businesses and assets relating to surveying and mapping services and ICP businesses held by Hubei ECARX, the former VIE, were inconsequential to our operations in 2020 and 2021 and which we believe have not had and will not have any material impact on our business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operations or financial results. Following the Restructuring in 2022, the contractual arrangement of the VIE structure was terminated and currently we do not have any VIE in China. We have not engaged in the surveying and mapping services and ICP businesses after the Restructuring.</w:t>
      </w:r>
    </w:p>
    <w:p>
      <w:pPr>
        <w:spacing w:after="0" w:line="18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Pursuant to the 2025 Encouraged Catalog, the research and development and manufacture of automobile electronic devices, the research and development and manufacture of key parts and components of intelligent vehicles, and the manufacture of hardware and key parts and components related to Level 3 to Level 5 autonomous driving fall within the encouraged category. Certain of our products constitute central computing units, vehicle-mounted operating system, and information control system, heterogeneous multi-processor computing platform technology, or sensor fusion sensing technology and consequently qualify under the encouraged category. The release of the 2025 Encouraged Catalog indicates that foreign investment into the selected industrial sectors is encouraged, and the NDRC and other government authorities in mainland China may provide policy supports and implement other actions in the future to improve the investment framework and ensure that foreign invested enterprises are treated equally as compared with mainland China companies under the national treatment principle and in an appropriate manner. For our products that fall within the encouraged category, we will be entitled to apply for and may obtain certain preferential treatments such as with respect to tax (if any). However, any positive policy change could potentially intensify competition in the relevant industry, leading to a more competitive environment for us. See “Item 3. Key Information—D. Risk Factors—Risks Relating to Doing Business in China—The automotive intelligence industry is highly competitive, and we may not be successful in competing in this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Investment Law</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March 15, 2019, the PRC National People’s Congress promulgated the PRC Foreign Investment Law, which took effect on January 1, 2020. It replaced three previously existing laws on foreign investment in mainland China, namely, the PRC Equity Joint Venture Law, the PRC Cooperative Joint Venture Law, and the PRC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non-foreign owned mainland China companies and foreign-invested enterprises in mainland China. The Foreign Investment Law establishes the basic framework for the access to, and the promotion, protection, and administration of, foreign investment in view of investment protection and fair competition. Furthermore, the Foreign Investment Law stipulates that foreign-invested enterprises established according to the previously existing laws regulating foreign investment may maintain their structure and corporate governance within five years after the implementation of the Foreign Investment Law.</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Foreign Investment Law, “foreign investment” refers to investment activities in mainland China directly or indirectly conducted by one or more natural persons, business entities, or other organizations of a foreign country, and the investment activities include: (i) a foreign investor, individually or collectively with other investors, establishing a foreign-invested enterprise in mainland China, (ii) a foreign investor acquiring stock, equity shares, shares in assets, or other similar rights and interests of an enterprise in mainland China, (iii) a foreign investor, individually or collectively with other investors, investing in a new project in mainland China, and (iv) investing through other means as provided for by laws, administrative regulations, or the PRC State Council.</w:t>
      </w:r>
    </w:p>
    <w:p>
      <w:pPr>
        <w:spacing w:after="0" w:line="2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Foreign Investment Law authorizes the State Council to publish or approve to publish a catalog for special administrative measures, or the Negative List, and grants national treatment to foreign-invested enterprises except for those that operate in industries deemed to be either “restricted” or “prohibited” in the Negative List. The Foreign Investment Law stipulates that foreign-invested enterprises operating in “restricted” or “prohibited” industries will be required to obtain market-entry clearance and other approvals from PRC government authorities.</w:t>
      </w:r>
    </w:p>
    <w:p>
      <w:pPr>
        <w:spacing w:after="0" w:line="207"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In addition, the Foreign Investment Law provides protective principles and rules for foreign investors and their investment in mainland China. For example, local PRC government authorities must abide by their undertaking made to foreign investors; foreign-invested enterprises are allowed to issue stocks and corporate bonds; expropriation or requisition of foreign investment is prohibited, except in special circumstances where statutory procedures must be followed and fair and reasonable compensation must be timely made; mandatory technology transfer is prohibited; and the capital contribution, profit, capital gain, proceeds of asset disposal, intellectual property right licensing fees, indemnity or compensation legally obtained, or proceeds received upon settlement by foreign investors in mainland China may be freely remitted inbound and outbound in Renminbi or a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To coordinate with the implementation of the Foreign Investment Law and the Implementation Regulations of the Foreign Investment Law, the Ministry of Commerce and the SAMR promulgated the Measures for Reporting of Information on Foreign Investment on December 30, 2019, which took effect from January 1, 2020. These measures stipulate that foreign investors or foreign-invested enterprises must submit investment information by initial reports, change reports, deregistration reports, and annual reports through an enterprise registration system and a national enterprise credit information publicity system. The Announcement on Matters Concerning the Reporting of Information on Foreign Investment promulgated by the Ministry of Commerce on December 31, 2019, and the Circular on Effective Work on Registration of Foreign-Invested Enterprises for the Implementation of the Foreign Investment Law promulgated by the SAMR on December 28, 2019, further refine the regulatory regime in this area. Foreign investors or foreign-invested enterprises will bear legal liabilities for failing to report investment information as required.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Company Law</w:t>
      </w:r>
    </w:p>
    <w:p>
      <w:pPr>
        <w:spacing w:after="0" w:line="29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PRC Company Law was promulgated by the SCNPC on December 29, 1993 and subsequently amended on October 26, 2018. The PRC Company Law provides for the establishment, corporate structure and corporate management of companies and is applicable to foreign-invested enterprises in mainland China. The PRC Company Law was most recently amended on December 29, 2023 (as amended, the “Revised Company Law”), and the amendment took effect on July 1, 2024. Among others, the Revised Company Law requires that the registered capital of limited liability companies in mainland China be fully paid within five years. Companies incorporated before the promulgation and implementation of the Revised Company Law are required to gradually make adjustment to comply with the deadline. We may be required to accelerate the payment of capital contributions towards the registered capital of our mainland China subsidiaries and joint ventures. As of the date of this annual report, specific implementation measures of the Revised Company Law are yet to be prescribed by the State Council.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Road Tests of Intelligent Connected Vehicles</w:t>
      </w:r>
    </w:p>
    <w:p>
      <w:pPr>
        <w:spacing w:after="0" w:line="24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July 27, 2021, the MIIT, the Ministry of Public Security and the Ministry of Transport jointly issued the Good Practices for the Administration of Road Test and Demonstration Application of Intelligent Connected Vehicles (for Trial Implementation), or Circular 97, which took effect on September 1, 2021, and is the primary regulation governing road tests and demonstrations of intelligent connected vehicles in mainland China. Pursuant to Circular 97, road test refers to the test of self-driving function of intelligent connected vehicles carried out on the designated sections of highways (including expressways), urban roads, regional roads and other roads used for the passage of social motor vehicles. Prior to conducting a road test, the relevant entity must ensure the vehicle to be tested has undergone sufficient tests in specific areas such as testing areas or sites, and complies with applicable national and industry standards and specifications, requirements imposed by the relevant departments of the provincial or municipal government as well as the evaluation rules of the entity intending to conduct the road tests. Conditions for road tests must also be met, including that (i) the self-driving function of the vehicle shall be tested by a third-party testing agency that is engaged in automobile-related business and recognized by the State or the provincial or municipal government; (ii) the operator of the testing area or site for the field test shall be an independent legal entity registered within the territory of mainland China; and (iii) the third-party testing agency shall publish items of its testing service and fee standards, be responsible for the authenticity of the test results and bear the corresponding legal liability. Any entity intending to conduct road tests shall submit an Intelligent Connected Vehicles Road Test Security Self Declaration to the relevant authorities at the provincial and municipal levels for confirmation. Such declaration shall specify the entity intending to conduct the road tests, the identification code of the vehicle, the name and ID number of the test driver, the duration of the test, the sections of roads and areas where tests will be conducted, the list of test items, and other relevant information. The testing duration shall not exceed 18 months in principle, and shall not exceed the validity period of the quality certificate of safety technical inspection and the insurance voucher. Any entity intending to conduct road tests shall apply to the administrative department of traffic under the Ministry of Public Security for a temporary car plate for each vehicle being tested.</w:t>
      </w:r>
    </w:p>
    <w:p>
      <w:pPr>
        <w:spacing w:after="0" w:line="21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According to the Notice on Promoting the Development of Intelligent Connected Vehicles and Maintaining the Security of Surveying and Mapping Geographic Information issued by the Ministry of Natural Resources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foreign-invested enterprise needs to engage in the collection, storage, transmission and processing of surveying and mapping geographic information and data, it shall entrust an agency with surveying and mapping qualification to carry out the intended activities, and the entrusted agency shall undertake the collection, storage, transmission and processing of the spatial coordinates, images, point clouds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and their attribute information and other businesses, and provide geographic information service and support. With respect to the road test activities currently conducted by JICA Intelligent, it has entrusted Hubei ECARX, our former VIE, and an entity with the required qualification for surveying and mapping under applicable law, to engage in the collection, storage, transmission and processing of data throughout the road tests JICA Intelligent only obtains the road test results from Hubei ECARX which do not contain any surveying and mapping geographic information and data.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Compulsory Product Certification</w:t>
      </w:r>
    </w:p>
    <w:p>
      <w:pPr>
        <w:spacing w:after="0" w:line="22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Pursuant to the Regulations on Certification and Accreditation promulgated on September 3, 2003 and last amended on July 20, 2023, certification and accreditation activities in mainland China shall comply with these regulations. Under the Administrative Regulations on Compulsory Product Certification, which was promulgated on July 3, 2009 and last amended on November 1, 2022, the List of the First Batch of Products Subject to Compulsory Product Certification, which was promulgated on December 3, 2001 and took effect on May 1, 2002, and the Compulsory Product Certification Catalogue Description and Definition Form, which was promulgated on April 17, 2007 and last amended on August 10, 2023, the SAMR is responsible for the regulation and quality certification, and vehicle wireless terminal and vehicle wireless module cannot be delivered, sold, imported, or used in operating activities until certified by designated PRC certification authorities as qualified products and granted certification marks, otherwise the violator will be ordered to make corrections and be imposed with a fine ranging from RMB50,000 to RMB200,000. If the value of uncertified illegal products is less than RMB10,000, a fine of no more than twice the value of the goods will be imposed and the illegal income (if any) will be confiscated. ECARX (Hubei) Tech has obtained compulsory product certifications for the relevant ECARX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Radio Transmitting Equipment</w:t>
      </w:r>
    </w:p>
    <w:p>
      <w:pPr>
        <w:spacing w:after="0" w:line="243"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According to the PRC Radio Regulations promulgated on September 11, 1993 and last amended on November 11, 2016, except for micro power short-distance radio transmitting equipment, for any production or import of other radio transmitting equipment for domestic sale and use, an application for model confirmation shall be filed with the radio regulatory authority. For anyone who, in violation of these regulations, produces or imports any radio transmitting equipment sold or used within mainland China without obtaining model confirmation, the radio regulatory authority shall order the violator to take corrective action and impose a fine ranging from RMB50,000 to RMB200,000 on the violator. If the violator refuses to take corrective action, the radio regulatory authority shall confiscate the radio transmitting equipment without model confirmation and impose a fine ranging from RMB200,000 to RMB1,000,000 on the violator. ECARX (Hubei) Tech has obtained the model confirmation for the relevant ECARX products.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Import and Export of Goods</w:t>
      </w:r>
    </w:p>
    <w:p>
      <w:pPr>
        <w:spacing w:after="0" w:line="24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Foreign Trade Law promulgated on May 12, 1994 and last amended on December 30, 2022, unless otherwise provided for under laws or administrative regulations, the import and export of goods and technologies are permitted to be carried out without restriction in principle. The foreign trade department of the State Council may implement an automatic licensing system for certain approved imports and exports for the purpose of monitoring of import and export activities, and the foreign trade department of the State Council or its authorized agencies will grant a license to the consignee or consignor who applies for automatic licensing prior to completing customs clearance formalities for imports and exports subject to automatic licensing.</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PRC Customs Law promulgated on January 22, 1987 and last amended on April 29, 2021, where a consignee or consignor of import or export goods goes through customs declaration procedures, it shall file for record with the customs, and in the event customs declaration business is engaged in without being filed with the customs, the customs shall impose a fine against the entity concerned. Under the Administrative Provisions of the Customs on Record-filing of Customs Declaration Entities, which was promulgated on November 19, 2021 and took effect on January 1, 2022, customs declaration entities include consignees or consignors of import or export goods that have filed for record with customs in accordance with these provisions, and consignors or consignees of import or export goods that apply for record-filing shall have obtained market entity qualifications and completed the record registration of foreign trade operators, the latter, however, has been cancelled since December 30, 2022. Record-filing of customs declaration entities shall be valid permanently. ECARX (Hubei) Tech and JICA Intelligent have completed the record-filing of customs declaration entity (consignee or consignor of import or export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Product Liability and Consumer Protection</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May 28, 2020, the National People’s Congress approved the PRC Civil Code, which took effect on January 1, 2021. According to the Civil Code, if defective products are identified after they have been put into circulation, their manufacturers or sellers must timely take remedial measures such as warning announcement and product recall. If damage arises from a defective product, the aggrieved party may seek compensation from either the manufacturer or the seller of the product. If the defect is caused by the seller, the manufacturer will be entitled to seek indemnification from the seller upon compensation of the aggrieved party. If the products are manufactured or sold with known defects causing deaths or severe health issues, punitive damages may be claimed in addition to compensatory damages.</w:t>
      </w:r>
    </w:p>
    <w:p>
      <w:pPr>
        <w:spacing w:after="0" w:line="2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Pursuant to the PRC Product Quality Law promulgated on February 22, 1993 and last amended on December 29, 2018, a manufacturer is prohibited from making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claim compensation against the manufacturer or the seller of the product. Manufacturers and sellers of non-compliant products may be ordered to cease the manufacture or sale of the products and could be subject to confiscation of the products or fines. Income from sales in contravention of such standards or requirements may also be confiscated, and in severe cases, the business license may be revoked.</w:t>
      </w:r>
    </w:p>
    <w:p>
      <w:pPr>
        <w:spacing w:after="0" w:line="21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a variety of consumer protection laws, including the PRC Consumer Rights and Interests Protection Law, which was amended in 2013 and took effect on March 15, 2014. This law imposes stringent requirements and obligations on business operators. For example, business operators should guarantee that the products and services they provide satisfy the requirements for personal or property safety, and provide consumers with authentic information about the quality, function, usage, and term of validity of the products or services. Failure to comply with these consumer protection laws could subject us to administrative sanctions, such as the issuance of a warning, confiscation of illegal income, imposition of fines, an order to cease business operations, or revocation of business licenses, as well as potential civil or criminal liabilities. On March 15, 2024, the State Council promulgated the Regulations for the Implementation of the PRC Consumer Rights and Interests Protection Law. These regulations took effect on July 1, 2024 and provide detailed guidelines for business operators to follow in order ensure that the goods or services they offer to consumers meet the necessary safety standards. The implementation regulations specify that business operators must ensure that items provided to consumers, including items that are free-of-charge such as in the form of rewards, gifts, or trial products, adhere to these safety standards. Under these regulations, consumers are entitled to report any concerns regarding potentially defective goods or services that could pose risks to personal or property safety to the business operators or competent regulatory authorities. Additionally, business operators are prohibited from imposing different prices or fee schemes on consumers for the same goods or services under the same transactional terms and conditions without the acknowledgement of such consumers.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Cyber Security and Privacy Protection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Security</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SCNPC enacted the Decisions on the Maintenance of Internet Security on December 28, 2000 and further amended on August 27, 2009, which may subject persons to criminal liabilities in China for any attempt to use the internet to (i) gain improper entry to a computer or system of strategic importance; (ii) disseminate politically disruptive information; (iii) leak state secrets; (iv) spread false commercial information; or (v) infringe upon intellectual property rights. In 1997, the Ministry of Public Security issued the Administration Measures on the Security Protection of Computer Information Network with International Connections, as later amended by the PRC State Council on January 8, 2011, which prohibits using the internet to leak state secrets or to spread socially destabilizing materials.</w:t>
      </w:r>
    </w:p>
    <w:p>
      <w:pPr>
        <w:spacing w:after="0" w:line="20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According to the PRC National Security Law issued by the SCNPC on February 22, 1993 and latest revised on July 1, 2015, China shall establish systems and mechanisms for national security review and supervision, conduct national security review on key technology, network information technology products and services related to national security to prevent and neutralize national security risks in an effective way. The PRC Cyber Security Law, which was promulgated on November 7, 2016 by the SCNPC and last amended on October 28, 2025 (with such amendment taking effective on January 1, 2026) provides that network operators shall perform their cyber security obligations and shall take technical measures and other necessary measures to protect the safety and stability of their networks. Under the Cyber Security Law, network operators are subject to various security protection-related obligations, including, among others, (i) network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 In addition, the Cyber Security Law requires that critical information infrastructure operators, or CIIOs, including CIIOs in the finance industry, generally shall store, within the territory of mainland China, the personal information and important data collected and produced during their operations in mainland China and their purchase of network products and services that affect or may affect national securities shall be subject to national cybersecurity review. CIIOs who use network products and services that have not been filed for or passed a cybersecurity review may be subject to the following penalties: (i) being ordered by the relevant authorities to make corrections within a prescribed time limit; (ii) being suspended from using such network products and services; (iii) being ordered to eliminate the impact on national security;</w:t>
      </w:r>
    </w:p>
    <w:p>
      <w:pPr>
        <w:spacing w:after="0" w:line="4" w:lineRule="exact"/>
        <w:rPr>
          <w:sz w:val="20"/>
          <w:szCs w:val="20"/>
          <w:color w:val="auto"/>
        </w:rPr>
      </w:pPr>
    </w:p>
    <w:p>
      <w:pPr>
        <w:ind w:right="100" w:firstLine="8"/>
        <w:spacing w:after="0" w:line="243" w:lineRule="auto"/>
        <w:tabs>
          <w:tab w:leader="none" w:pos="3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of more than one time and less than ten times the purchase price of such network products and services; (v) a fine of more than RMB10,000 and less than RMB100,000 on the senior staff in and other staff directly responsible.</w:t>
      </w:r>
    </w:p>
    <w:p>
      <w:pPr>
        <w:spacing w:after="0" w:line="22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April 13, 2020, the CAC, the NDRC, and several other administrations jointly promulgated the Measures for Cybersecurity Review, which took effect on June 1, 2020. These measures establish the basic framework for national security reviews of network products and services, and provide the principal provisions for undertaking cybersecurity reviews. According to the Measures for Cybersecurity Review, when the purchase of network products and services by a CIIO influences or may influence national security, a cybersecurity review shall be conducted. In addition, the relevant regulatory authorities are still entitled to impose security reviews on network products and services that are deemed capable of affecting national security. CIIOs may voluntarily file for a cybersecurity review with CAC prior to purchasing network products and services if they deem their behavior affects or may affect national security based on self-assessment and self-evaluation. Notwithstanding the voluntary filing, the relevant authorities are entitled to initiate cybersecurity reviews accordingly. Cybersecurity reviews focus on assessing the national security risks associated with purchasing network products and services, mainly taking the following factors into account: (i) the risk of illegal control, interference or destruction of critical information infrastructure and of its important data being stolen, leaked or destroyed, arising from the purchase and utilization of network products and services; (ii) the potential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PRC laws, administrative regulations and ministry rules of the suppliers of Network Products and Services; and (v) other factors that may harm critical information infrastructure and/or national security. In addition, on July 22, 2020, the Ministry of Public Security issued the Guiding Opinions on Implementing the Cybersecurity Graded Protection System and Critical Information Infrastructure Security Protection System to further improve the national cyber security prevention and control system. On December 28, 2021, the CAC and several other administrations jointly issued the Revised Measures for Cybersecurity Review, which took effect and replace the Measures for Cybersecurity Review on February 15, 2022. According to the revised measures, in addition to CIIOs purchasing network products or services that affect or may affect national security, any “online platform operator” carrying out data processing activities that affect or may affect national security should also be subject to a cybersecurity review, and any “online platform operator” possessing personal information of more than one million users must apply for a cybersecurity review before its listing overseas. In the event a member of the cybersecurity review working mechanism is in the opinion that any network product or service or any data processing activity affects or may affect national security, the Office of Cybersecurity Review shall report the same to the Central Cyberspace Affairs Commission for its approval under applicable procedures and then conduct a cybersecurity review in accordance with the revised Measures for Cybersecurity Review.</w:t>
      </w:r>
    </w:p>
    <w:p>
      <w:pPr>
        <w:spacing w:after="0" w:line="23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Revised Measures for Cybersecurity Review further elaborate on the range of factors to be considered when assessing the level of national security risks involved in the relevant activities. In addition to those set forth in the original measures, the list has been expanded to include the following factors: (i) the risk of core data, important data or a large amount of personal information being stolen, leaked, destroyed, and illegally used or illegally transferred abroad, and (ii) in connection with the listing of a company, the risk of critical information infrastructure, core data, important data or a large amount of personal information being affected, controlled, or used with malicious intent by foreign governments, as well as the risk relating to network information security. Specifically, the Revised Measures for Cybersecurity Review provide that an “online platform operator” who is in possession of personal information of more than one million users must report to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relevant cybersecurity review office for a cybersecurity review before listing in a foreign country. An operator undergoing a cybersecurity review must take risk prevention and mitigation measures during such review in accordance with applicable requirements. Based on a set of Q&amp;A published on the official website of the CAC in connection with the release of the Revised Measures for Cybersecurity Review, an official of the CAC indicated that an “online platform operator” should apply for a cybersecurity review prior to the submission of its listing application with non-mainland China securities regulators. After the receipt of all required application materials, the authorities must determine, within ten business days thereafter, whether a cybersecurity review will be initiated. If a review is initiated and the authorities conclude after such review that the listing will affect national security, the listing of the applicant will be prohibited.</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Furthermore, on July 30, 2021, the State Council promulgated the Regulations of Security Protection for Critical Information Infrastructure, which took effect on September 1, 2021 and provides that critical information infrastructures, or CIIs, refer to important network facilities and information systems involved in important industries and fields such as public communication and information services, energy, transportation, water conservancy, finance, public services, e-government, national defense related science and technology industry, as well as those which may seriously endanger national security, national economy and citizen’s livelihood and public interests if damaged, malfunctioned, or if leakage of data relating thereto occurs. Pursuant to these provisions, relevant government authorities are responsible for formulating the rules on identifying the CII and organizing to identify such the CII in the related industries and fields, taking into account the factors set forth in the provisions and shall notify the operators identified as CIIOs.</w:t>
      </w:r>
    </w:p>
    <w:p>
      <w:pPr>
        <w:spacing w:after="0" w:line="21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At the end of 2019, the CAC issued the Provisions on Ecological Governance of Network Information Content, or the CAC Order 5, which took effect on March 1, 2020, to further strengthen the regulation and management of network information content. Pursuant to the CAC Order 5, each network information content service platform is required, among others, (i) not to disseminate any information prohibited by laws and regulations, such as information jeopardizing national security; (ii) to strengthen the examination of advertisements published on such network information content service platform; (iii) to promulgate management rules and platform convention and improve user agreement, such that such network information content service platform could clarify users’ rights and obligations and perform management responsibilities required by laws, regulations, rules and convention; (iv) to establish convenient means for complaints and reports; and (v) to prepare annual work report regarding its ecological governance of network information content. In addition, a network information content service platform must not, among others, (i) utilize new technologies such as deep-learning and virtual reality to engage in activities prohibited by laws and regulations; (ii) engage in online traffic fraud, malicious traffic rerouting and other activities related to a fraudulent account, illegal transaction account or maneuver of users’ account; and (iii) infringe a third party’s legitimate rights or seek illegal interests by way of interfering with information display. On July 12, 2021, the CAC, the MIIT and the Ministry of Public Security jointly issued the Circular of Issuing the Administrative Provisions on Security Vulnerabilities of Network Products, or Circular 66, which took effect on September 1, 2021. Circular 66 states that, no organization or individual may abuse the security vulnerabilities of network products to engage in activities that endanger network security, or to illegally collect, sell, or publish information relating to such security vulnerabilities. Anyone who is aware of the aforesaid offences should not provide any technical support, advertising, payment settlement and other assistance to the offenders. According to Circular 66, network product providers, network operators, and platforms collecting network product security vulnerabilities must establish and improve channels for receiving network product security vulnerability information and keep such channels available, and retain network product security vulnerability information reception logs for at least six months. In order to ensure that security vulnerabilities in network products are fixed on a timely basis and reasonably reported, network product providers should perform certain obligations on the management of security vulnerabilities in their network products, including, among others, reporting vulnerability information to the Cybersecurity Threat and Vulnerability Information Sharing Platform of the MIIT within two days, which shall include the name, model, and version of the product affected by such security vulnerability, as well as the technical characteristics, degree of harm and scope of impact of such vulnerability. Circular 66 also prohibits the disclosure of undisclosed vulnerabilities to overseas organizations or individuals other than to the product providers. On June 10, 2021, the SCNPC promulgated the Data Security Law, which took effect on September 1, 2021.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8, 2022, the MIIT issued the Administrative Measures for Data Security in the Field of Industry and Information Technology (for Trial Implementation), or the Data Security Measures in the IT Field, which took effect on January 1, 2023. The Data Security Measures in the IT Field defines the scope of data in the field of industry and information technology, and stipulates that all businesses which handle industrial and telecoms data in mainland China are required to categorize such information into “general,” “important” and “core” and businesses processing “important” and “core” data shall comply with certain filing and reporting obligations. Data in the field of industry and information technology shall include industrial data, telecoms data, etc. The “industrial data” refers to data produced and collected in the course of research and development design, manufacturing, operation and management, operating and maintenance, and platform operation in various sectors and fields of industry. The “telecoms data” refers to the data generated and collected in the course of telecommunications business operations. For different categories of data, the Data Security Measures in the IT Field prescribes different requirements in terms of security management and protection in terms of data collection, storage, processing, transmission, provision, publication, destruction, exit, transfer, entrusted processing, etc. For general data, the data processors shall establish a life-cycle safety management system, assign management personnel, reasonably determine operation authority, formulate emergency plans, conduct emergency drills, conduct education and training, and keep log records.</w:t>
      </w:r>
    </w:p>
    <w:p>
      <w:pPr>
        <w:spacing w:after="0" w:line="21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Measures for Security Assessment of Cross-border Data Transfers, or the Security Assessment Measures, which took effect on September 1, 2022 and aims to establish a continuous assessment and monitoring mechanism with respect to cross-border data transfers. It applies to the security assessment of important data and personal information that is collected and generated in the course of operations within mainland China and to be provided abroad by data processors. According to the Security Assessment Measures, if any of the following circumstances is implicated in a cross-border data transfer, the relevant data processor shall apply to the competent cyberspace administration authority for a security assessment: (i) where a data processor provides important data abroad; (ii) where a CIIO or a data processor processing the personal information of more than one million individuals provides personal information abroad; (iii) where a data processor who has provided personal information of 100,000 individuals or sensitive personal information of 10,000 individuals in total since January 1 of the previous year provides personal information abroad; and</w:t>
      </w:r>
    </w:p>
    <w:p>
      <w:pPr>
        <w:spacing w:after="0" w:line="1" w:lineRule="exact"/>
        <w:rPr>
          <w:sz w:val="20"/>
          <w:szCs w:val="20"/>
          <w:color w:val="auto"/>
        </w:rPr>
      </w:pPr>
    </w:p>
    <w:p>
      <w:pPr>
        <w:ind w:right="40" w:firstLine="8"/>
        <w:spacing w:after="0" w:line="251" w:lineRule="auto"/>
        <w:tabs>
          <w:tab w:leader="none" w:pos="3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where a security assessment of cross-border data transfer is required as prescribed by the national cyberspace administration. Prior to applying for a security assessment, a data processor shall conduct self-assessment on the risks of cross-border data transfers, with an emphasis on the following matters: (i) the legality, legitimacy and necessity of the purpose, scope and method of cross-border data transfers and data processing of the overseas recipient; (ii) the scale, scope, type and sensitivity of the data to be provided cross-border, and the risks to national security, public interests or the legitimate rights and interests of individuals or organizations caused by cross-border data transfers; (iii) the responsibilities and obligations that the overseas recipient promises to undertake, and whether the overseas recipient’s management and technical measures and capabilities for performing its responsibilities and obligations could guarantee the security of the data; (iv) risks of the data being tampered with, destroyed, divulged, lost, transferred, illegally obtained or illegally used during and after cross-border data transfers, and whether the channel for the maintenance of personal information rights and interests is unobstructed; (v) whether the contracts to be entered into with the overseas recipient or any other legally binding documents memorialize the contracting parties' agreement in respect of the responsibilities and obligations to protect data security; and (vi) other matters that may affect the security of cross-border data transfers. The result of a security assessment of cross-border data transfer would be valid for two years, commencing from the date when the result is issued, and the data processor shall re-apply for an assessment if certain circumstances occur within the period of validity or 60 business days prior to the expiration of the period of validity. For cross-border data transfers that have been carried out before the effectiveness of the Security Assessment Measures, if not in compliance with these measures, rectification shall be completed within six months from the effectiveness of the Security Assessment Measures.</w:t>
      </w:r>
    </w:p>
    <w:p>
      <w:pPr>
        <w:spacing w:after="0" w:line="21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22, 2024, the Cyberspace Administration of China published the Provisions on Promoting and Regulating Cross-bound Data Flows, which streamline and provide clarity to the governance framework for outbound data transfer. According to these provisions, data processors shall identify and declare important data in accordance with applicable provisions. For data that have not been publicly announced as and for which data processors have not been informed to be important data by the relevant authorities or regions, data processors are not required to report security assessment for its outbound data transfer as important data. These provisions also establish specific exemptions for outbound data transfer. For instance, data collected and generated in international trade, transnational transportation, academic cooperation and global manufacturing and marketing, which do not contain personal information or important data, are exempted from the compliance requirement for outbound data transfer, such as security assessment for outbound data transfer, the execution of standard contracts for outbound personal information transfer, or the authentication process for personal information protection. On October 14, 2025, the Cyberspace Administration of China and the SAMR jointly</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promulgated the Measures for Certification of Personal Information Cross-Border Transfer, which took effect on January 1, 2026. The measures require personal information processors to apply to a professional certification body for personal information cross-border transfer certification. Personal information processors seeking to provide personal information to overseas recipients through the certification pathway must simultaneously satisfy the following conditions: (i) the processor is not a critical information infrastructure operator; (ii) the processor has cumulatively provided personal information of no fewer than 100,000 but fewer than 1,000,000 individuals (excluding sensitive personal information), or sensitive personal information of fewer than 10,000 individuals, to overseas recipients since January 1 of the current year; and (iii) the personal information to be provided overseas does not include important data.</w:t>
      </w:r>
    </w:p>
    <w:p>
      <w:pPr>
        <w:spacing w:after="0" w:line="21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September 24, 2024, the State Council issued the Regulation on the Administration of Cyber Data Security, or the Cyber Data Security Regulation, which came into effect on January 1, 2025. The Cyber Data Security Regulation sets out certain requirements on network data processing activities, the security and protection of network data, and the reasonable and effective use of network data, and further sheds light on the protection of personal information, security of important data, management of cross-border security of network data and obligations of network platform service providers. The Cyber Data Security Regulation requires, among others, where network data processing activities carried out by a network data processor affect or may affect national security, national security review shall be conducted in accordance with applicable PRC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Protection</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Internet information service providers are required to maintain the integrity, confidentiality, and availability of network data. The Cyber Security Law reaffirms the basic principles and requirements specified in other existing laws and regulations on personal information protection, such as the requirements on the collection, use, processing, storage, and disclosure of personal information, and internet information service providers are required to take technical and other necessary measures to ensure the security of the personal information collected and prevent the personal information from being divulged, damaged, or lost. Any violation of the Cyber Security Law may subject an internet information service provider to warnings, fines, confiscation of illegal gains, revocation of licenses, cancellation of filings, shutdown of websites, or otherwise criminal liabilities. Furthermore, the Rules on the Protection of Personal Information of Telecommunications and Internet Users promulgated by the MIIT on July 16, 2013 and effective on September 1, 2013 prescribe detailed requirements on the use and collection of personal information and require security measures to be taken by telecommunications business operators and internet information service providers.</w:t>
      </w:r>
    </w:p>
    <w:p>
      <w:pPr>
        <w:spacing w:after="0" w:line="21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Pursuant to the Notice of the Supreme People’s Court, the Supreme People’s Procuratorate, and the Ministry of Public Security on Legally Punishing Criminal Activities Infringing upon the Personal Information of Citizens, which was issued and took effect on April 23,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applicable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16, 2021, the CAC, the NDRC and several other administrations jointly promulgated the Several Provisions on Automobile Data Security Management (for Trial Implementation), or the Provisions on Automobile Data Security, which took effect from October 1, 2021 and aims to regulate the collection, analysis, storage, utilization, provision, publication, and cross-border transmission of personal information and critical data generated throughout the lifecycle of automobiles by automobile designers, producers and service providers. Automobile data processors including automobile manufacturers, compartment and software providers, dealers, maintenance providers are required to process personal information and critical data in accordance with applicable laws during the automobile design, manufacture, sales, operation, maintenance and management. To process personal information, automobile data processors shall obtain the consent of the individual or conform to other circumstances stipulated by laws and regulations. Pursuant to the Provisions on Automobile Data Security, personal information and critical data related to automobiles shall in principle be stored within mainland China and a cross-border data security assessment shall be conducted by the national cyberspace administration authority in concert with relevant departments under the State Council if there is a need to provide such data</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overseas. To process critical data, automobile data processors shall conduct risk assessment in accordance with regulations and submit risk assessment reports to related departments at provincial levels.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Pursuant to the Civil Code, the collection, storage, use, process, transmission, provision, and disclosure of personal information should follow the principles of legitimacy, appropriateness, and necessity. Furthermore, on August 20, 2021, the Personal Information Protection Law was promulgated by the SCNPC and took effect on November 1, 2021. The law integrated previously scattered rules with respect to personal information rights and privacy protection. The Personal Information Protection Law aims at protecting personal information rights and interests, regulating the processing of personal information, ensuring the orderly transmission of personal information in accordance with law and promoting the reasonable use of personal information. The Personal Information Protection Law applies to the processing of personal information within mainland China, as well as certain personal information processing activities outside mainland China, including those for the provision of products and services to natural persons within mainland China or for the analysis and assessment of acts of natural persons within mainland China. As a result, all of our subsidiaries, whether within or outside mainland China, could potentially become subject to the Personal Information Protection Law. Entities processing personal information exceeding the threshold to be set by the relevant authorities and CIIOs are required to store, within the territory of mainland China, all personal information collected and produced within mainland China. In addition, the Personal Information Protection Law imposes pre-approval and other requirements for any cross-border data transfer by mainland China companies.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Telecommunications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Telecommunications Regulations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PRC Telecommunications Regulations promulgated by the State Council on September 25, 2000 and last amended on February 6, 2016, are the primary PRC regulations governing telecommunications services, which set out the general framework for the provision of telecommunications services in mainland China. The Telecommunications Regulations require that the network connection licensing system shall be implemented to telecommunications terminal equipment, radio telecommunications equipment and interconnection-related equipment, and the network connection license shall not be transferred. Whoever sells telecommunications terminal equipment without the network connection license shall be ordered to make correction and be imposed with a fine ranging from RMB10,000 to RMB100,000. ECARX (Hubei) Tech and its subsidiaries have obtained network connection licenses for the relevant ECARX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Information Services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25, 2000, the State Council promulgated the Measures for the Administration of Internet Information Services, which was last amended on December 6, 2024. Under these measures, internet information services are categorized into commercial internet information services and non-commercial internet services. Non-commercial internet information service providers in mainland China must file with the competent government authorities, and commercial internet information service providers in mainland China must obtain an ICP License from the competent government authorities. Operators of certain specific information services, such as news, publishing, education must also comply with applicable laws and regulations and obtain approval from the competent government authorities.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Internet information service providers are required to monitor their websites. They cannot post or disseminate any content that falls within prohibited categories stipulated under applicable laws and regulations, and must stop providing any such content on their websites once identified. The competent government authorities may order internet information services operators that violate the content restrictions to rectify such violations and, in cases of serious violations, either revoke the ICP Licenses of commercial internet information services operators, or shut down websites of non-commercial internet information services operators.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Intellectual Property Rights</w:t>
      </w:r>
    </w:p>
    <w:p>
      <w:pPr>
        <w:spacing w:after="0" w:line="2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China is a party to several international treaties with respect to intellectual property right protection, including the Agreement on Trade-Related Aspects of Intellectual Property Rights, the Paris Convention for the Protection of Industrial Property, the Madrid Agreement Concerning the International Registration of Marks, and the Patent Cooperation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According to the PRC Patent Law promulgated by the SCNPC on March 12, 1984 and currently effective from June 1, 2021, and the Implementation Rules of the PRC Patent Law promulgated by the State Council on June 15, 2001 and last amended on December 11, 2023, there are three types of patents in mainland China: invention patents, utility model patents, and design patents. The protection period is 20 years for an invention patent and 10 years for a utility model patent and 15 years for a design patent (or 10 years for design patents filed prior to June 1, 2021), commencing from their respective application dates. The patent system in mainland China adopts a first-to-file principle, under which the person who files the patent application first is entitled to the patent if two or more persons file patent applications for the same subject. Any person or entity that utilizes a patent or conducts any other activities that infringe a patent without authorization of the patent holder must compensate the patent holder and is subject to a fine imposed by the relevant government authorities, and may be criminally liable in case of patent passing-off. In addition, any person or entity that files a patent application in a foreign country for an invention or utility model patent accomplished in mainland China is required to report in advance to the State Council’s patent administrative authority for a confidentiality examination.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PRC Copyright Law, which was last amended on November 11, 2020 and took effect on June 1, 2021, provides that Chinese citizens, legal persons, or other organizations will own the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spacing w:after="0" w:line="2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Computer Software Protection Regulations promulgated by the State Council on December 20, 2001 and last amended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Trademarks are protected by the PRC Trademark Law last amended on April 23, 2019 and the Implementation Regulations of the PRC Trademark Law promulgated by the State Council last amended on April 29, 2014. The PRC Trademark Office grants a ten-year term to registered trademarks, and the term may be renewed for another ten-year period upon request by the trademark owner. Where the trademark owner fails to do so, a grace period of six months may be granted. In the absence of renewal upon expiry, the registered trademark will be canceled. A trademark owner may license its registered trademarks to another party by entering into trademark license agreements, which must be filed with the Trademark Office for its records. As with patents, the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shall not infringe upon prior existing trademark rights of others, nor may any person register in advance a trademark that has already been used by another party and has already gained a “sufficient degree of reputation” through such party’s use. market regulatory departments have the authority to investigate any behavior that infringes the exclusive right under a registered trademark in accordance with the law. In case of a suspected criminal offense, the case will be timely referred to a judicial authority and decided according to the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43"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auto"/>
        </w:rPr>
        <w:t>The MIIT promulgated the Administrative Measures of Internet Domain Names on August 24, 2017, which took effect on November 1, 2017 and replaced the Administrative Measures on China Internet Domain Names promulgated by the MIIT on November 5, 2004. According to these measures, the MIIT is in charge of the administration of internet domain names in mainland China. The domain name registration follows a first-to-file principle. Applicants for registration of domain names must provide true, accurate, and complete information of their identities to domain name registration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institutions. The applicants will become holders of such domain names upon the completion of the registration procedure.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Anti-Unfair Competition Law promulgated by the SCNPC on September 2, 1993 and last amended on June 27, 2025, a “trade secret” refers to technical and business information that is unknown to the public, may create business interests or profits for its legal owners or holders, and is maintained as a secret by its legal owners or holders. Under the Anti-Unfair Competition Law, business operators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confidential; or (iv) instigating, inducing, or assisting others to violate a confidentiality obligation or to violate a rights holder’s requirements on keeping the confidentiality of trade secrets, disclosing, using, or permitting others to use the trade secrets of the rights holder. If a third party knows or should have known the above-mentioned illegal conduct but nevertheless obtains, uses, or discloses trade secrets of others, the third party may be deemed to have misappropriated the others’ trade secrets.</w:t>
      </w:r>
    </w:p>
    <w:p>
      <w:pPr>
        <w:spacing w:after="0" w:line="2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Business operators who violate the provisions of the Anti-Unfair Competition Law and cause others to suffer damages shall bear civil liability, and where the legitimate rights and interests of a business operator are harmed by unfair competition, the business operator may file a lawsuit with a People’s Court. The amount of compensation for a business operator who suffers damages due to unfair competition shall be determined on the basis of the actual losses suffered as a result of the infringement or in accordance with the benefits gained by the infringing party from the infringement. If a business operator intentionally commits an act of infringing trade secrets and the case is serious, the amount of compensation may be determined at not less than one time and not more than five times the amount determined in accordance with the foregoing method. The amount of compensation shall also include reasonable expenses paid by the business operator to stop the infringement. If it is difficult to ascertain the actual losses suffered or benefits gained, the People’s Court shall, in consideration of the extent of the infringement, award compensation of less than RMB5,000,000 to the rights holder. Additionally, government authorities shall stop any illegal activities which infringe upon trade secrets and confiscate the illegal income from the infringing parties, and impose a fine between RMB100,000 to RMB1,000,000 (or where the circumstances are serious, between RMB1,000,000 to RMB5,000,000).</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PRC Criminal Law promulgated by the National People’s Congress on July 1, 1979 and last amended on December 29, 2023 and</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took effect on March 1, 2024, anyone that commits any of the following acts of trade secrets infringement, if the circumstances are serious, shall be sentenced to a fixed-term imprisonment of not more than 3 years and/or shall be fined; if the circumstances are especially serious, the infringing party shall be sentenced to a fixed-term imprisonment of not less than 3 years but not more than 10 years and shall be subject to fines: (i) obtaining trade secrets from their legal owners or holders through unfair methods such as theft, bribery, fraud, coercion, electronic intrusion, or any other illicit means; (ii) disclosing, using, or permitting others to use trade secrets obtained illegally under item (i) above; (iii) disclosing, using, or permitting others to use trade secrets in violation of any contractual agreements or any requirements of the legal owners or holders to keep such trade secrets confidential. Any person who has knowledge of the circumstances referred to above but nevertheless obtains, discloses, uses or allows others to use such trade secrets shall be deemed to have infringed upon trade secrets.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Exchange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Administration of Foreign Exchange</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Under the PRC Foreign Exchange Administrative Regulations promulgated on January 29, 1996 and last amended on August 5, 2008, and various regulations issued by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currencies outside mainland China for capital account items, such as direct equity investments, loans, and repatriation of investment, requires prior approval from SAFE or its local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Payments for transactions that take place in mainland China must be made in Renminbi. Unless otherwise approved, mainland China companies may not repatriate payments denominated in foreign currencies received from abroad or retain the same abroad. Foreign-invested enterprises may retain foreign currencies under the current account with designated foreign exchange banks subject to a limit set by SAFE or its local branch. Foreign currencies under the current account may be either retained or sold to a financial institution engaged in the settlement and sale of foreign currencies pursuant to SAFE rules and regulations. For foreign currencies under the capital account, approval by SAFE is generally required for the retention or sale of such foreign currencies to a financial institution engaged in the settlement and sale of foreign currencies.</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Circular on Further Improving and Adjusting Foreign Exchange Administration Policies for Direct Investment promulgated by SAFE on November 19, 2012 and last amended on December 30, 2019, or SAFE Circular 59, approval of SAFE is not required for opening a foreign exchange account and depositing foreign currencies into the accounts relating to direct investments. SAFE Circular 59 also simplifies foreign exchange-related registration required for foreign investors to acquire equity interest in mainland China companies and further improves the administration of foreign exchange settlement for foreign-invested enterprises. The Circular on Further Simplifying and Improving the Foreign Exchange Administration Policies for Direct Investment promulgated by SAFE and effective on June 1, 2015 and last amended on December 30, 2019, or SAFE Circular 13, cancels the administrative approvals of foreign exchange registration of direct domestic investment and direct overseas investment, and simplifies the procedure for foreign exchange-related registration. Pursuant to SAFE Circular 13, investors must register with banks for direct domestic investment and direct overseas investment.</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SAFE Circular 19 promulgated by SAFE on March 30, 2015 and last amended on March 23, 2023,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SAFE Circular 19, for the time being, foreign-invested enterprises are allowed to settle 100% of their foreign exchange capital on a discretionary basis; a foreign-invested enterprise must truthfully use its capital for its own operating purposes within the scope of business; and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2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Circular on Reforming and Regulating Policies on the Control over Foreign Exchange Settlement of Capital Accounts promulgated by SAFE on June 9, 2016 and last amended on December 4, 2023, or SAFE Circular 16, stipulates that mainland China companies may also convert their foreign debts denominated in foreign currencies into Renminbi on a self-discretionary basis. SAFE Circular 16 also provides an integrated standard for conversion of foreign exchange under capital account items (including foreign exchange capital and foreign debts) on a self-discretionary basis, which applies to all mainland China companies.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PRC Market Entities Registration Administrative Regulations promulgated by the State Council on July 27, 2021 and effective on March 1, 2022, and other laws and regulations governing foreign-invested enterprises and company registrations, the establishment of a foreign-invested enterprise and any capital increase and other major changes in a foreign-invested enterprise must be registered with the SAMR or its local counterparts, and must be filed via the foreign investment comprehensive administrative system, if such foreign-invested enterprise does not involve special market-entry administrative measures prescribed by the PRC government.</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Cross-Border Trade and Investment Facilitation, which was amended by the Circular on Further Deepening the Reform to Facilitate Cross-Border Trade and Investment on December 4, 2023. This circular allows foreign-invested enterprises whose approved business scopes do not contain equity investment to use their capital obtained from foreign exchange settlement to make domestic equity investment as long as the investment is real and complies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in mainland China must be made in Renminbi. Income denominated in foreign currencies received by mainland China companies may be repatriated into mainland China or retained outside of mainland China in accordance with requirements and terms specified by SAFE.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Pursuant to SAFE Circular 13 and other foreign exchange laws and regulations, when setting up a new foreign-invested enterprise, the foreign-invested enterprise must register with a bank located at its place of registration after obtaining its business license, and if there is any change in capital or other changes relating to the basic information of the foreign-invested enterprise, including any increase in its registered capital or total investment, the foreign-invested enterprise must register such changes with the bank located at its place of registration after obtaining approval from or completing the filing with competent authorities. Pursuant to applicable foreign exchange laws and regulations, the above-mentioned foreign exchange registration with the banks will typically take less than four weeks upon the acceptance of the registration application.</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if we intend to fund our wholly foreign-owned subsidiaries through capital injection at or after their establishment, we must register the establishment of and any follow-on capital increase in our wholly foreign-owned subsidiaries with the SAMR or its local counterparts, file such via the foreign investment comprehensive administrative system, and register such with the local banks for the foreign exchange related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Offshore Investment by Mainland China Residents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Circular on Issues Concerning the Foreign Exchange Administration over the Overseas Investment and Financing and Round-Trip Investment by Domestic Residents via Special Purpose Vehicles issued by SAFE and effective on July 4, 2014, or SAFE Circular 37, mainland China residents are required to register with local branches of SAFE in connection with their direct or indirect offshore investment in overseas special purpose vehicles directly established or indirectly controlled by mainland China residents for offshore investment and financing with their legally owned assets or interests in mainland China companies, or their legally owned offshore assets or interests. Such mainland China residents are also required to amend their registrations with SAFE when there is a change to the basic information of the special purpose vehicles, such as changes of an individual mainland China resident, the name or operating period of the special purpose vehicles, or when there is a significant change to the special purpose vehicles, such as changes of the individual mainland China residents’ increase or decrease of the capital contribution in the special purpose vehicles, or any share transfer or exchange, merger, or division of the special purpose vehicles. At the same time, SAFE issued the Operation Guidance for Issues Concerning Foreign Exchange Administration over Round-Trip Investment regarding the procedures for SAFE registration under SAFE Circular 37, which took effect on July 4, 2014, as an attachment to SAFE Circular 37.</w:t>
      </w:r>
    </w:p>
    <w:p>
      <w:pPr>
        <w:spacing w:after="0" w:line="21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Under SAFE Circular 13, mainland China residents may register with qualified banks instead of SAFE in connection with their establishment or control of an offshore entity established for the purpose of overseas direct investment. SAFE and its branches will implement indirect supervision over foreign exchange registration of direct investment via the banks.</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SAFE Circular 37 may result in restrictions on foreign exchange activities of the relevant onshore company, including the payment of dividends and other distributions to its offshore parent or affiliate, the capital inflow from the offshore entities, and settlement of foreign exchange capital, and may also subject the onshore company or PRC residents to penalties under PRC foreign exchange administration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Dividend Distribution</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7"/>
          <w:szCs w:val="17"/>
          <w:color w:val="auto"/>
        </w:rPr>
        <w:t>The principal laws and regulations regulating the distribution of dividends by foreign-invested enterprises in mainland China include the Company Law and the Foreign Investment Law and its implementation rules. Under the current regulatory regime in mainland China, foreign-invested enterprises in mainland China may pay dividends only out of their retained earnings, if any, determined in accordance with PRC accounting standards and regulations.</w:t>
      </w:r>
    </w:p>
    <w:p>
      <w:pPr>
        <w:spacing w:after="0" w:line="2" w:lineRule="exact"/>
        <w:rPr>
          <w:sz w:val="20"/>
          <w:szCs w:val="20"/>
          <w:color w:val="auto"/>
        </w:rPr>
      </w:pPr>
    </w:p>
    <w:p>
      <w:pPr>
        <w:ind w:right="460"/>
        <w:spacing w:after="0" w:line="238" w:lineRule="auto"/>
        <w:rPr>
          <w:sz w:val="20"/>
          <w:szCs w:val="20"/>
          <w:color w:val="auto"/>
        </w:rPr>
      </w:pPr>
      <w:r>
        <w:rPr>
          <w:rFonts w:ascii="Times New Roman" w:cs="Times New Roman" w:eastAsia="Times New Roman" w:hAnsi="Times New Roman"/>
          <w:sz w:val="18"/>
          <w:szCs w:val="18"/>
          <w:color w:val="auto"/>
        </w:rPr>
        <w:t>Mainland China companies are required to set aside as statutory reserve funds at least 10% of its after-tax profit, until the cumulative amount of such reserve funds reaches 50% of its registered capital unless laws regarding foreign investment provide otherwise. A mainland China company cannot distribute any profits until any losses from prior fiscal years have been offset. Profits retained from prior fiscal years may be distributed together with distributable profits from the current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PRC Enterprise Income Tax Law promulgated by the National People’s Congress on March 16, 2007 and last amended on December 29, 2018 and the Implementation Rules of the PRC Enterprise Income Tax Law promulgated by the State Council on December 6, 2007 most recently amended on December 6, 2024 and effective on January 20, 2025, the income tax rate for both non-foreign owned mainland China companies and foreign-invested enterprises is 25% unless otherwise provided for specifically. Enterprises are classified as either mainland China resident enterprises or non-mainland China resident enterprises. In addition, enterprises established outside mainland China whose de facto management bodies are located in mainland China are considered mainland China resident enterprises and subject to the 25% enterprise income tax rate for their global income. An income tax rate of 10% applies to dividends declared to non-mainland China resident enterprise investors that do not have an establishment or place of business in mainland China, or that have such establishment or place of business but the relevant income is not effectively connected with the establishment or place of business, to the extent such dividends are derived from sources within mainland China.</w:t>
      </w:r>
    </w:p>
    <w:p>
      <w:pPr>
        <w:spacing w:after="0" w:line="21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an enterprise certified as a High-Tech Enterprise enjoys a reduced enterprise income tax rate of 15%. According to the Administrative Measures for the Certification of High-Tech Enterprises amended in January 2016, the provincial counterparts of the Ministry of Science and Technology, the Ministry of Finance, and the STA jointly determine whether an enterprise is a High-Tech Enterprise considering the 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Pursuant to Value-added Tax Law of the PRC, promulgated on December 25, 2024 and taking effect on January 1, 2026, all enterprises and individuals engaged in the sale of goods, the provision of processing, repair and replacement services, sales of services, intangible assets, real property, and the importation of goods within the territory of the PRC shall be liable to pay VAT, the VAT tax rates generally applicable are simplified as 13%, 9%, 6% and 0%, and the VAT tax rate applicable to the small-scale taxpayers is 3%. Regulations for the Implementation of the Value-Added Tax Law of the PRC, promulgated on December 25, 2025 and taking effect on January 1, 2026, provides further details regarding entities subject to the tax and scope of taxation, clarifies the applicable tax rates and determines the calculation for tax payable in different scenarios.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Enterprise Income Tax Law stipulates that an income tax rate of 10% applies to dividends declared to non-mainland China resident investors that do not have an establishment or place of business in mainland China, or that have such establishment or place of business but the relevant income is not effectively connected with the establishment or place of business, to the extent that such dividends are derived from sources within mainland China.</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for the Avoidance of Double Taxation and the Prevention of Fiscal Evasion with Respect to Taxes on Income and Capital and other applicable PRC laws, if a Hong Kong resident enterprise is determined by the competent tax authority to have satisfied applicable conditions and requirements, the 10% withholding tax rate on the dividends received by the Hong Kong resident enterprise from a mainland China resident enterprise may be reduced to 5%. According to the Circular on Several Questions Regarding the Beneficial Owner in Tax Treaties, which was issued by the STA on February 3, 2018 and took effect on April 1, 2018, when determining an applicant’s status as the beneficial owner regarding tax treatments in connection with dividends, interest, or royalties in the tax treaties, several factors are considered, including whether the applicant is obligated to pay over 50% of the income in twelve months to residents in a third country or region, whether the business operated by the applicant constitutes the actual business activities, and whether the counterparty country or region to the tax treaties does not levy any tax or grant any tax exemption on relevant incomes or levies tax at an extremely low rate, and such factors will be analyzed according to the actual circumstances of the specific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Indirect Transfer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Circular on Issues of Enterprise Income Tax on Indirect Transfers of Assets by Non-PRC Resident Enterprises issued by the STA</w:t>
      </w:r>
    </w:p>
    <w:p>
      <w:pPr>
        <w:spacing w:after="0" w:line="3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February 3, 2015 and last amended on December 29, 2017, or STA Circular 7, an indirect transfer of assets, including equity interest in a mainland China resident enterprise, by non-mainland China resident enterprises may be recharacterized and treated as a direct transfer of mainland China taxable assets, if such arrangement does not have a reasonable commercial purpose and was established for the purpose of avoiding payment of mainland China enterprise income tax. As a result, gains derived from such indirect transfer may be subject to mainland China enterprise income tax. When determining whether there is a reasonable commercial purpose of the transaction arrangement, several factors are considered, including whether the main value of the equity interest of the offshore enterprise derives directly or indirectly from mainland China taxable assets, whether the assets of the offshore enterprise mainly consists of direct or indirect investment in mainland China or if its income is mainly derived from mainland China, and whether the offshore enterprise and its subsidiaries directly or indirectly holding mainland China taxable assets have a real commercial nature that is evidenced by their actual function and risk exposure. STA Circular 7 does not apply to sales of shares by investors through a public stock exchange where such shares were acquired on a public stock exchange. On October 17, 2017, the STA issued the Circular on Issues Concerning the Withholding of Enterprise Income Tax at Source on Non-PRC Resident Enterprises, or STA Circular 37, which was amended by the Announcement of the STA on Certain Taxation Normative Documents issued by the STA on June 15, 2018. STA Circular 37 further elaborates on the implementing rules regarding the calculation, reporting, and payment obligations of the withholding tax by non-mainland China resident enterprises. Nevertheless, there remain uncertainties as to the interpretation and application of STA Circular 7. STA Circular 7 may be determined by the tax authorities to be applicable to our offshore transactions or sale of our shares or those of our offshore subsidiaries where non-mainland China resident enterprises, being the transferors, were involved.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Labor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 Law</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PRC Labor Law effective on January 1, 1995 and last amended on December 29, 2018 and its implementation rules, employers must establish and improve work safety and health systems, enforce national standards, and carry out work safety and health education for employees. In addition, pursuant to the PRC Labor Contract Law effective on January 1, 2008 and amended on December 28, 2012 and its implementation rules, employers must execute written labor contracts with full-time employees and comply with local minimum wage standards. Violations of the Labor Law and the Labor Contract Law may result in the imposition of fines and other administrative and criminal liability in the case of serious violations.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Fund</w:t>
      </w:r>
    </w:p>
    <w:p>
      <w:pPr>
        <w:spacing w:after="0" w:line="243"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18"/>
          <w:szCs w:val="18"/>
          <w:color w:val="auto"/>
        </w:rPr>
        <w:t>According to the PRC Social Insurance Law promulgated by the SCNPC on October 28, 2010 and amended on December 29, 2018 and the Administrative Regulations on Housing Provident Funds promulgated by the State Council on April 3, 1999 and last amended on March 24, 2019, employers are required to contribute to a number of social security funds, including funds for basic pension insurance, unemployment insurance, basic medical insurance, occupational injury insurance, and maternity insurance, and also to housing funds. Any employer who fails to make such contribution may be fined and ordered to make good the deficit within a stipulated time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Pursuant to the Notice of Issues Relating to the Foreign Exchange Administration for Domestic Persons Participating in Stock Incentive Plan of Overseas Listed Company issued by SAFE on February 15, 2012, employees, directors, supervisors, and other senior management who participate in any stock incentive plan of a publicly listed overseas company and who are mainland China citizens or non-mainland China citizens residing in mainland China for a continuous period of no less than one year are, subject to a few exceptions, required to register with SAFE through a qualified domestic agent, which may be a mainland China subsidiary of such overseas listed company, and complete certain other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Anti-Monopoly</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August 30, 2007, the SCNPC adopted the Anti-Monopoly Law, which was recently amended on June 24, 2022 and took effective on August 1, 2022. Under the Anti-Monopoly Law, the prohibited monopolistic acts include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monopolistic agreements, abuse of a dominant market position, and concentration of businesses that may have the effect to eliminate or restrict competition.</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Anti-Monopoly Law, a business operator that possesses a dominant market position is prohibited from abusing its dominant market position and must not conduct the following acts: (i) selling 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 (v) without justifiable reasons, tying commodities or imposing unreasonable trading conditions to transactions; (vi) without justifiable reasons, applying differential prices and other transaction terms among their trading counterparts who are on an equal footing; and (vii) other acts determined as abuse of dominant market position by the relevant governmental authorities. Pursuant to the Anti-Monopoly Law and other regulations, when a concentration of undertakings occurs and reaches any of the following thresholds, the undertakings concerned must file a prior notification with the anti-monopoly agency (i.e., the SAMR), (i) the total global turnover of all operators participating in the transaction exceeded RMB12 billion in the preceding fiscal year and at least two of these operators each had a turnover of more than RMB800 million within mainland China in the preceding fiscal year, or (ii) the total turnover within mainland China of all the operators participating in the concentration exceeded RMB4 billion in the preceding fiscal year, and at least two of these operators each had a turnover of more than RMB800 million within mainland China in the preceding fiscal year are triggered, and no concentration shall be implemented until the anti-monopoly agency clears the anti-monopoly filing. Where, although a concentration of undertakings does not reach the threshold, there is evidence proving that the concentration has or may have effect of eliminating or restricting competition, the State Council may require the undertakings to file a prior notification.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If business operators fail to comply with the Anti-Monopoly Law or other relevant regulations, the anti-monopoly agency is empowered to stop the relevant activities, unwind the transactions, and confiscate illegal gains and fines. Furthermore, business operators may be subject to criminal liability in the case of serious violation.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Mergers and Acquisitions and Overseas Listing</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August 8, 2006, six PRC governmental and regulatory authorities, including the Ministry of Commerce and the CSRC, promulgated the Rules on Mergers and Acquisition of Domestic Enterprises by Foreign Investors, or the M&amp;A Rules, effective as of September 8, 2006 and later revised on June 22, 2009, which governs the mergers and acquisitions of domestic enterprises by foreign investors. The M&amp;A Rules, among other things, requires that if an overseas company established or controlled by mainland China companies or individuals intends to acquire equity interests or assets of any other mainland China company affiliated with such companies or individuals, such acquisition must be submitted to the Ministry of Commerce for approval. The M&amp;A Rules also requires that an offshore special purpose vehicle formed for overseas listing purposes and controlled directly or indirectly by the mainland China individuals or companies shall obtain the approval of the CSRC prior to overseas listing and trading of such special purpose vehicle’s securities on an overseas stock exchange. After the PRC Foreign Investment Law and its Implementation Regulations took effect on January 1, 2020, the provisions of the M&amp;A Rules remain effective to the extent they are not inconsistent with the PRC Foreign Investment Law and its Implementation Regulations.</w:t>
      </w:r>
    </w:p>
    <w:p>
      <w:pPr>
        <w:spacing w:after="0" w:line="21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Ministry of Commerce has stated on its official website that, following the implementation of the Foreign Investment Law, the approval and filing requirements for establishing or changing foreign-invested enterprises are no longer required. For example, on April 9, 2024, The Ministry of Commerce responded to a query regarding whether the approval process outlined in the M&amp;A Rules is still necessary after the Foreign Investment Law came into effect. The response clarified that since 2020, the Ministry of Commerce no longer requires approval or filing for the establishment or changes of foreign-invested enterprises. Foreign investors acquiring domestic companies must still comply with the M&amp;A Rules, but the approval procedure with the Ministry of Commerce is no longer required.</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promulgated the Opinions on Severely Cracking Down on Illegal Securities Activities According to Law, or the Opinions. The Opinions emphasized the need to strengthen the administration over illegal securities activities, and the need to strengthen the supervision over overseas listings by Chinese companies. Effective measures, such as promoting the establishment of regulatory frameworks will be taken to deal with the risks and incidents of mainland China-based overseas listed companies, and cybersecurity and data privacy protection requirements and etc.</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the Overseas Listing Filing Rules, which took effect on March 31, 2023. The Overseas Listing Filing Rules will comprehensively improve and reform the existing regulatory regime for overseas offering and listing of securities of mainland China companies and will regulate both direct and indirect overseas offering and listing of securities of mainland China companies by adopting a filing-based regulatory regime. According to the Overseas Listing Filing Rules, the issuer or a major domestic operating company designated by the issuer, as the case may be, must make a filing with the CSRC in respect of its initial public offering or listing, follow-on offering and other equivalent offing activities. For an listed issuer which is already listed, it should also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 dividends, share split, etc., (iii) it issues additional securities in several offerings within its authorized scope; or (iv) it conducts a secondary listing or primary listing in any other overseas market. Failure to comply with the filing requirements may result in fines, suspension of their businesses, revocation of their business licenses and operation permits and fines on the controlling shareholder and other responsible persons.</w:t>
      </w:r>
    </w:p>
    <w:p>
      <w:pPr>
        <w:spacing w:after="0" w:line="21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February 17, 2023, the CSRC issued the Notice on Administrative Arrangements for the Filing of Domestic Enterprise’s Overseas Offering and Listing, which stipulates that mainland China-based issuers like us that have completed overseas listings prior to March 31, 2023 are not required to file with the CSRC in accordance with the Overseas Listing Filing Rules immediately, but must carry out filing procedures as required if we conduct refinancing or if other circumstances arise which require us to make a filing with the CSRC.</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February 24, 2023, the CSRC and several other administrations jointly released the Provisions on Strengthening Confidentiality and Archives Administration of Overseas Securities Offering and Listing by Domestic Companies, or the Archives Rules, which took effect on March 31, 2023. The Archives Rules apply to both overseas direct offerings and overseas indirect offerings. The Archives Rules provides that, among other things, (i) in relation to the overseas listing activities of domestic enterprises, the domestic enterprises are required to strictly comply with applicable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state secrets or that have a sensitive impact (i.e. be detrimental to national security or the public interest if divulged), the domestic enterprise should complete applicable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China is required to be approved by competent PRC authorities.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Environment Protection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SCNPC, in December 1989, last amended in April 2014 and effective in January 2015, any entity which discharges or will discharge pollutants during its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According to the provisions of the PRC Environmental Protection Law, in addition to other laws and regulations of mainland China, the Ministry of Environmental Protection and its local counterparts take charge of administering and supervising said environmental protection matters.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Environmental Protection Law, the environmental impact statement on any construction project must assess the pollution that the project is likely to produce and its impact on the environment, and stipulate preventive and curative measures; the statement shall be submitted to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Environment Impact Assessment Law, which was promulgated in October 2002 and most recently amended in December 2018, mainland China implements a classification-based management on the environmental impact assessment of construction projects according to the impact of the construction projects on the environment. Construction units, which fall within corresponding classified administration catalog, shall prepare an Environmental Impact Report or an Environmental Impact Statement, or fill out the Environmental Impact Registration Form.</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Regulations on Urban Drainage and Sewage Disposal, which was promulgated in October 2013 and came into effect in January 2014, and the Measures for the Administration of Permits for the Discharge of Urban Sewage into the Drainage Network, which was promulgated in January 2015, amended on December 1, 2022 and became effective on February 1, 2023, drainage entities covered by urban drainage facilities shall discharge sewage into urban drainage facilities in accordance with the provisions of the state. Where a drainage entity needs to discharge sewage into urban drainage facilities, it shall apply for a drainage license in accordance with the provisions of these Measures. The drainage entity that has not obtained the drainage license shall not discharge sewage into urban drainage facilities.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Fire Control</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Pursuant to the PRC Fire Safety Law promulgated by the SCNPC in April 1998 and last amended and implemented on April 29, 2021, and the Interim Provisions on Administration of Fire Control Design Review and Acceptance of Construction Project promulgated by the Ministry of Housing and Urban-Rural Development on April 1, 2020, last amended on August 21, 2023 and effective on October 30, 2023, the construction unit of other construction projects must complete the fire protection filing of the fire protection completion acceptance within five working days after the completion acceptance of the construction project. If a construction project fails to pass the fire safety inspection before it is put into use, or does not meet the fire safety requirements after the inspection, it will be ordered to suspend the construction and use of such project, or suspend production and business, and be imposed a fine.</w:t>
      </w:r>
    </w:p>
    <w:p>
      <w:pPr>
        <w:spacing w:after="0" w:line="21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5246370" cy="3154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4637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16"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Our main offices are located in various cities in China, including Hangzhou, Shanghai, Wuhan, Dalian, Chengdu, and Suzhou. We also have offices in Gothenburg, London, San Diego, Singapore and Stuttgart. As of December 31, 2025, we had leased premises as summarized below and under operating lease agreements from independent third parties. We believe that our existing facilities are generally adequate to meet our current needs, but we expect to seek additional space as needed to accommodate future growth.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Size in Square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Meters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 Term (years)</w:t>
            </w:r>
          </w:p>
        </w:tc>
      </w:tr>
      <w:tr>
        <w:trPr>
          <w:trHeight w:val="37"/>
        </w:trPr>
        <w:tc>
          <w:tcPr>
            <w:tcW w:w="6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Hangzhou</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16,342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Operations, R&amp;D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 years</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3,380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Operations, R&amp;D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Wuhan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Product R&amp;D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Dalian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2,290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Product R&amp;D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 years</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Chengdu</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Product R&amp;D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Suzhou</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1,675</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Operations, R&amp;D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Gothenburg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Product R&amp;D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2,999</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Operations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Diego</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R&amp;D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Operations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Stuttgart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R&amp;D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 years</w:t>
            </w:r>
          </w:p>
        </w:tc>
      </w:tr>
      <w:tr>
        <w:trPr>
          <w:trHeight w:val="27"/>
        </w:trPr>
        <w:tc>
          <w:tcPr>
            <w:tcW w:w="6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We started in-house production at our Hangzhou Fuyang facility since April 2024, marking a critical milestone in the Company’s strategy to vertically integrate our production and supply chain capabilities. In July 2024, we acquired Hubei Dongjun Automotive Electronic Technology Co., Ltd., as a significant supplement to our in-house production capabilities in China.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16"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 This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global mobility technology provider, we develop full stack automotive computing platforms including SoCs, central computing platforms, operating systems and software. Our current core products include infotainment head units, digital cockpits, autonomous driving control unit, vehicle chip-set solutions, a core operating system and integrated software stack.</w:t>
      </w:r>
    </w:p>
    <w:p>
      <w:pPr>
        <w:spacing w:after="0" w:line="18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have established a successful track record since our inception. As of December 31, 2025, there were over 11 million vehicles on the road with ECARX products and solutions onboard. As of December 31, 2025, we had a team of over 1,400 employees based in 13 major locations in China, UK, USA, Singapore, Malaysia, Sweden and Germany, approximately 70% of whom are involved in research and development, providing the foundation for us to serve 28 vehicle brands across the globe.</w:t>
      </w:r>
    </w:p>
    <w:p>
      <w:pPr>
        <w:spacing w:after="0" w:line="208"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In 2024, we acquired a controlling financial interest in HF Tech Europe AB, an entity under common control. Comparative financial information for 2023 is presented by combining assets, liabilities, revenues, expenses, and equity of ECARX and HF Tech Europe AB using the pooling-of-interests method. All intercompany transactions and balances between the combining entities have been eliminated. Please refer to Note 3(a) of our audited consolidated financial statements included in this annual report.</w:t>
      </w:r>
    </w:p>
    <w:p>
      <w:pPr>
        <w:spacing w:after="0" w:line="2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16.5% from US$662.2 million in 2023 to US$771.5 million in 2024, and further by 9.9% to US$847.9 million in 2025. We recorded a net loss of US$143.9 million, US$137.8 million and US$68.9 million in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are affected by the following company-specific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increase the sales of our products and services</w:t>
      </w:r>
    </w:p>
    <w:p>
      <w:pPr>
        <w:spacing w:after="0" w:line="24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significantly on our ability to continue to attract orders from automotive OEMs and Tier 1 automotive suppliers, which can affect our sales volume.</w:t>
      </w:r>
    </w:p>
    <w:p>
      <w:pPr>
        <w:spacing w:after="0" w:line="189"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7"/>
          <w:szCs w:val="17"/>
          <w:color w:val="auto"/>
        </w:rPr>
        <w:t>Since our incorporation, Geely Holding and its ecosystem OEMs have played an important role in the development of our business and revenue base. Collaboration with Geely and its affiliated brands provided a platform to demonstrate our technology, scale our solutions and establish a strong operational foundation within the global automotive industry. Building on this foundation, we have progressively expanded our customer base beyond the Geely ecosystem, securing programs with additional automotive OEMs and Tier 1 suppliers across multiple geographies. Today, our strategy is focused on</w:t>
      </w:r>
    </w:p>
    <w:p>
      <w:pPr>
        <w:sectPr>
          <w:pgSz w:w="11900" w:h="16838" w:orient="portrait"/>
          <w:cols w:equalWidth="0" w:num="1">
            <w:col w:w="11240"/>
          </w:cols>
          <w:pgMar w:left="320" w:top="121" w:right="339" w:bottom="0" w:gutter="0" w:footer="0" w:header="0"/>
        </w:sectPr>
      </w:pPr>
    </w:p>
    <w:bookmarkStart w:id="79" w:name="page80"/>
    <w:bookmarkEnd w:id="79"/>
    <w:p>
      <w:pPr>
        <w:ind w:right="40"/>
        <w:spacing w:after="0" w:line="250" w:lineRule="auto"/>
        <w:rPr>
          <w:sz w:val="20"/>
          <w:szCs w:val="20"/>
          <w:color w:val="auto"/>
        </w:rPr>
      </w:pPr>
      <w:r>
        <w:rPr>
          <w:rFonts w:ascii="Times New Roman" w:cs="Times New Roman" w:eastAsia="Times New Roman" w:hAnsi="Times New Roman"/>
          <w:sz w:val="18"/>
          <w:szCs w:val="18"/>
          <w:color w:val="auto"/>
        </w:rPr>
        <w:t>broadening our global reach and serving a diversified set of automotive partners, while continuing to support leading brands within the Geely ecosystem. Our experience working closely within the Geely ecosystem has enabled us to develop proven products, deep automotive expertise and scalable technology platforms, positioning us to capture opportunities across the wider global automotive market.</w:t>
      </w:r>
    </w:p>
    <w:p>
      <w:pPr>
        <w:spacing w:after="0" w:line="20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ability to build orders for our products and services both within and without the Geely ecosystem will have a significant impact on our sales revenue and therefore the results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investments in R&amp;D and innovation</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Technology is a key competing factor in our industries and our financial performance will be significantly dependent on our ability to maintain our technological leadership. As of December 31, 2025, we had a team of over 1,432 full-time employees globally, among which approximately 70% are involved in research and development.</w:t>
      </w:r>
    </w:p>
    <w:p>
      <w:pPr>
        <w:spacing w:after="0" w:line="21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and we plan to continue to explore joint ventures, acquisitions, and other forms of strategic partnerships for research and development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improve operating efficiency</w:t>
      </w:r>
    </w:p>
    <w:p>
      <w:pPr>
        <w:spacing w:after="0" w:line="24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Our results of operations are further affected by our ability to achieve and maintain operating efficiency, as measured by our total operating expenses as a percentage of our revenues. This is critical to the success of our business and our future profitability. As our business grows, we expect to achieve and improve our operating efficiency and enjoy economies of scale. Our future performance will depend on our ability to achieve such efficiency and deliver on these economies of scale.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revenues primarily through sales of goods, software licensing and services.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of goods revenues</w:t>
      </w:r>
      <w:r>
        <w:rPr>
          <w:rFonts w:ascii="Times New Roman" w:cs="Times New Roman" w:eastAsia="Times New Roman" w:hAnsi="Times New Roman"/>
          <w:sz w:val="18"/>
          <w:szCs w:val="18"/>
          <w:color w:val="auto"/>
        </w:rPr>
        <w:t>. Our main products include:</w:t>
      </w:r>
    </w:p>
    <w:p>
      <w:pPr>
        <w:spacing w:after="0" w:line="119" w:lineRule="exact"/>
        <w:rPr>
          <w:sz w:val="20"/>
          <w:szCs w:val="20"/>
          <w:color w:val="auto"/>
        </w:rPr>
      </w:pPr>
    </w:p>
    <w:p>
      <w:pPr>
        <w:ind w:left="980" w:right="6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computing platform, which we supply to automotive OEMs and Tier 1 automotive suppliers to be assembled on cars with infotainment head unit or digital cockpit, and autonomous driving control unit;</w:t>
      </w:r>
    </w:p>
    <w:p>
      <w:pPr>
        <w:spacing w:after="0" w:line="53"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 core modules, where we sell standardized computing board, which integrates SoC with core integrated circuits and peripheral to automotive OEMs or Tier 1 automotive suppliers; and</w:t>
      </w:r>
    </w:p>
    <w:p>
      <w:pPr>
        <w:spacing w:after="0" w:line="53"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merchandise and other products, which are primarily basic electronic components such as resistor, capacitor and circuit board sold to automotive suppliers.</w:t>
      </w:r>
    </w:p>
    <w:p>
      <w:pPr>
        <w:spacing w:after="0" w:line="160"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Software licensing</w:t>
      </w:r>
      <w:r>
        <w:rPr>
          <w:rFonts w:ascii="Times New Roman" w:cs="Times New Roman" w:eastAsia="Times New Roman" w:hAnsi="Times New Roman"/>
          <w:sz w:val="18"/>
          <w:szCs w:val="18"/>
          <w:color w:val="auto"/>
        </w:rPr>
        <w:t>. We generate revenues by licensing our customers the rights to the intellectual property of bundled software. Such bundled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is configured into standardized in-vehicle operating system by us to support the overall in-vehicle software framework and infrastructure of automotive OEMs.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We generate revenues by providing the following services:</w:t>
      </w:r>
    </w:p>
    <w:p>
      <w:pPr>
        <w:spacing w:after="0" w:line="119"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computing platform design and development service;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service, which enables automobiles access to the internet for end-users;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including technical consulting services provided to automotive companies.</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revenues by type both in absolute amount and as a percentage of our revenues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40" w:type="dxa"/>
            <w:vAlign w:val="bottom"/>
          </w:tcPr>
          <w:p>
            <w:pPr>
              <w:spacing w:after="0"/>
              <w:rPr>
                <w:sz w:val="16"/>
                <w:szCs w:val="16"/>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40" w:type="dxa"/>
            <w:vAlign w:val="bottom"/>
          </w:tcPr>
          <w:p>
            <w:pPr>
              <w:spacing w:after="0"/>
              <w:rPr>
                <w:sz w:val="16"/>
                <w:szCs w:val="16"/>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5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7"/>
        </w:trPr>
        <w:tc>
          <w:tcPr>
            <w:tcW w:w="2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goods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 revenues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847,858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Our cost of revenues can be categorized as cost of goods sold, cost of software license and cost of services, which are the costs and expenses that are directly related to providing our products, licenses and services to customers including overheads. These cost and expenses primarily include (i) costs of raw materials, production labor costs, processing fee charged by outsourced factories, (ii) warehousing and transportation costs of inventories, (iii) staff costs of the quality control and supply chain departments, including share-based compensation expenses, and (iv) others, primarily consisted of depreciation, warranty cost, and license fees of software purchased from suppliers.</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by nature both in absolute amount and as a percentage of our revenues for the periods indicated.</w:t>
      </w:r>
    </w:p>
    <w:p>
      <w:pPr>
        <w:sectPr>
          <w:pgSz w:w="11900" w:h="16838" w:orient="portrait"/>
          <w:cols w:equalWidth="0" w:num="1">
            <w:col w:w="11240"/>
          </w:cols>
          <w:pgMar w:left="320" w:top="108" w:right="339" w:bottom="222"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27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60" w:type="dxa"/>
            <w:vAlign w:val="bottom"/>
          </w:tcPr>
          <w:p>
            <w:pPr>
              <w:spacing w:after="0"/>
              <w:rPr>
                <w:sz w:val="16"/>
                <w:szCs w:val="16"/>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r>
      <w:tr>
        <w:trPr>
          <w:trHeight w:val="37"/>
        </w:trPr>
        <w:tc>
          <w:tcPr>
            <w:tcW w:w="27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60" w:type="dxa"/>
            <w:vAlign w:val="bottom"/>
          </w:tcPr>
          <w:p>
            <w:pPr>
              <w:spacing w:after="0"/>
              <w:rPr>
                <w:sz w:val="16"/>
                <w:szCs w:val="16"/>
                <w:color w:val="auto"/>
              </w:rPr>
            </w:pPr>
          </w:p>
        </w:tc>
        <w:tc>
          <w:tcPr>
            <w:tcW w:w="15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5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7"/>
        </w:trPr>
        <w:tc>
          <w:tcPr>
            <w:tcW w:w="2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27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483,608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611,431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686,596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9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gross profit represents our revenues less cost of revenues. Gross margin represents our gross profit as a percentage of revenue. In 2023, 2024 and 2025, our gross profit was US$178.6 million, US$160.1 million and US$161.3</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million, respectively, and our gross margin was 27.0%, 20.8%, and 19.0%, respectively. The following table sets forth our gross profit and gross margin by types of revenue for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2740" w:type="dxa"/>
            <w:vAlign w:val="bottom"/>
          </w:tcPr>
          <w:p>
            <w:pPr>
              <w:spacing w:after="0"/>
              <w:rPr>
                <w:sz w:val="16"/>
                <w:szCs w:val="16"/>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27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Margin</w:t>
            </w:r>
          </w:p>
        </w:tc>
      </w:tr>
      <w:tr>
        <w:trPr>
          <w:trHeight w:val="37"/>
        </w:trPr>
        <w:tc>
          <w:tcPr>
            <w:tcW w:w="274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2740" w:type="dxa"/>
            <w:vAlign w:val="bottom"/>
          </w:tcPr>
          <w:p>
            <w:pPr>
              <w:spacing w:after="0"/>
              <w:rPr>
                <w:sz w:val="16"/>
                <w:szCs w:val="16"/>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27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2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160,099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161,262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selling, general and administrative expenses, (iii) other income, and (iv) others, net.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operating expenses both in absolute amount and as a percentage of our revenues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27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60" w:type="dxa"/>
            <w:vAlign w:val="bottom"/>
          </w:tcPr>
          <w:p>
            <w:pPr>
              <w:spacing w:after="0"/>
              <w:rPr>
                <w:sz w:val="16"/>
                <w:szCs w:val="16"/>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r>
      <w:tr>
        <w:trPr>
          <w:trHeight w:val="37"/>
        </w:trPr>
        <w:tc>
          <w:tcPr>
            <w:tcW w:w="27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2760" w:type="dxa"/>
            <w:vAlign w:val="bottom"/>
          </w:tcPr>
          <w:p>
            <w:pPr>
              <w:spacing w:after="0"/>
              <w:rPr>
                <w:sz w:val="16"/>
                <w:szCs w:val="16"/>
                <w:color w:val="auto"/>
              </w:rPr>
            </w:pPr>
          </w:p>
        </w:tc>
        <w:tc>
          <w:tcPr>
            <w:tcW w:w="15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5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7"/>
        </w:trPr>
        <w:tc>
          <w:tcPr>
            <w:tcW w:w="2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308,634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282,995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0"/>
        </w:trPr>
        <w:tc>
          <w:tcPr>
            <w:tcW w:w="2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direct material cost, outsourced development expenses, payroll and related costs including share-based compensation related to research and development of new technologies and expenses associated with the use by these functions of facilities and equipment, such as rental and depreciation.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primarily consist of payroll, employee benefits, share-based compensation, travelling and general expenses, professional service fees, advertising costs, rental, depreciation and amortization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represents recharges of certain management expenses to a related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43"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Our subsidiaries incorporated in Hong Kong are generally subject to Hong Kong profits tax at a rate of 16.5%. For the years 2018 and onwards, the first HK$2,000 of profits generated by an entity incorporated in Hong Kong is taxed at a rate of 8.25%, while the remaining profits will continue to be taxed at 16.5% tax rate. In December 2022, a refined Foreign Sourced Income Exemption (“FSIE”) regime was published in Hong Kong and took effect</w:t>
      </w:r>
    </w:p>
    <w:p>
      <w:pPr>
        <w:sectPr>
          <w:pgSz w:w="11900" w:h="16838" w:orient="portrait"/>
          <w:cols w:equalWidth="0" w:num="1">
            <w:col w:w="11200"/>
          </w:cols>
          <w:pgMar w:left="320" w:top="169" w:right="379" w:bottom="0" w:gutter="0" w:footer="0" w:header="0"/>
        </w:sectPr>
      </w:pPr>
    </w:p>
    <w:bookmarkStart w:id="81" w:name="page82"/>
    <w:bookmarkEnd w:id="81"/>
    <w:p>
      <w:pPr>
        <w:ind w:right="60"/>
        <w:spacing w:after="0" w:line="250" w:lineRule="auto"/>
        <w:rPr>
          <w:sz w:val="20"/>
          <w:szCs w:val="20"/>
          <w:color w:val="auto"/>
        </w:rPr>
      </w:pPr>
      <w:r>
        <w:rPr>
          <w:rFonts w:ascii="Times New Roman" w:cs="Times New Roman" w:eastAsia="Times New Roman" w:hAnsi="Times New Roman"/>
          <w:sz w:val="18"/>
          <w:szCs w:val="18"/>
          <w:color w:val="auto"/>
        </w:rPr>
        <w:t>from January 1, 2023. Under the new FSIE regime, certain foreign soured income would be deemed as being sourced from Hong Kong and chargeable to Hong Kong Profits Tax, if the recipient entity fails to meet the prescribed exception requirements. Certain dividends, interests, intellectual property income and disposal gains, if any, received by us and our Hong Kong subsidiaries may be subject to the new tax regime.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Under the PRC Enterprise Income Tax Law effective from January 1, 2008 and last amended on December 29, 2018, our mainland China subsidiaries, and consolidated affiliated entities and their subsidiaries are subject to the statutory rate of 25%, subject to preferential tax treatments available to qualified enterprises in certain encouraged sectors of the economy. Enterprises that qualify as “high and new technology enterprises” are entitled to a preferential rate of 15% subject to renewal every three years. In December 2023, ECARX Hubei was certified as a high and new technology enterprise ,or HNTE. and is entitled to benefit from a preferential income tax rate of 15% for a period of three years from 2023 to 2025 if HNTE status is satisfied in the relevant year. In November 2024, JICA Intelligent Robotics Co., Ltd. was certified as a high and new technology enterprise and is entitled to benefit from a preferential income tax rate of 15% for a period of three years from 2024 to 2026 if HNTE status is satisfied in the relevant year.</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currently subject to value-added tax, or VAT, at rates of 6% and 13% on the products and services we provide, less any deductible VAT we have already paid or borne. We are also subject to surcharges on VAT payments in accordance with the law of mainland China.</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Dividends paid by our wholly foreign-owned mainland China subsidiary to our intermediary holding company in Hong Kong will be subject to a withholding tax rate of 10%, unless the Hong Kong entity satisfies all the requirements under the Arrangement between mainland China and the Hong Kong Special Administrative Region for the Avoidance of Double Taxation and the Prevention of Fiscal Evasion with respect to Taxes on Income and receives approval from the tax authority. If our Hong Kong subsidiary satisfies all the requirements under the tax arrangement and receives approval from the tax authority, then the dividends paid to the Hong Kong subsidiary would be subject to withholding tax at the standard rate of 5%.</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our company in the Cayman Islands or any of our subsidiaries outside of mainland China were deemed a “resident enterprise” under the PRC Enterprise Income Tax Law, it would be subject to enterprise income tax on its worldwide income at a rate of 25%. See “Item 3. Key Information—D. Risk Factors—Risks Relating to Doing Business in China—If we are classified as a mainland China resident enterprise for purposes of income tax in mainland China, such classification could result in unfavorable tax consequences to us and our non-mainland China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with line items in absolute amount and as a percentage of our revenues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2000" w:type="dxa"/>
            <w:vAlign w:val="bottom"/>
          </w:tcPr>
          <w:p>
            <w:pPr>
              <w:spacing w:after="0"/>
              <w:rPr>
                <w:sz w:val="16"/>
                <w:szCs w:val="16"/>
                <w:color w:val="auto"/>
              </w:rPr>
            </w:pP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2000" w:type="dxa"/>
            <w:vAlign w:val="bottom"/>
          </w:tcPr>
          <w:p>
            <w:pPr>
              <w:spacing w:after="0"/>
              <w:rPr>
                <w:sz w:val="16"/>
                <w:szCs w:val="16"/>
                <w:color w:val="auto"/>
              </w:rPr>
            </w:pPr>
          </w:p>
        </w:tc>
        <w:tc>
          <w:tcPr>
            <w:tcW w:w="164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4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7"/>
        </w:trPr>
        <w:tc>
          <w:tcPr>
            <w:tcW w:w="2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of goods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Software license</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Service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847,858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Cost of goods sold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Cost of software licenses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Cost of services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(483,608)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(686,596)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Research and</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Selling, general and</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Other income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Others,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(308,634)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(282,995)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(216,035)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3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(130,016)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(54,773)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7"/>
        </w:trPr>
        <w:tc>
          <w:tcPr>
            <w:tcW w:w="2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from equity</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income,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2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(144,424)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(67,695)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05"/>
        </w:trPr>
        <w:tc>
          <w:tcPr>
            <w:tcW w:w="2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tax benefit</w:t>
            </w: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(143,899)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(137,751)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1"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of Goods Revenues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703,093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91,848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computing platform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627,067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SoC core modules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Merchandise and other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License Revenues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115,067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Automotive computing platform–design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development service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Connectivity service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6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847,858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76,328</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revenues increased by US$76.3 million from US$771.5 million for the year ended December 31, 2024 to US$847.9 million for the year ended December 31, 2025, primarily driven by an increase in the sales volume of Antora®, Venado™, and Pikes® series automotive computing platform products, partially offset by a decline in software license revenue and services revenue.</w:t>
      </w:r>
    </w:p>
    <w:p>
      <w:pPr>
        <w:spacing w:after="0" w:line="18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Sales of Goods Revenues</w:t>
      </w:r>
      <w:r>
        <w:rPr>
          <w:rFonts w:ascii="Times New Roman" w:cs="Times New Roman" w:eastAsia="Times New Roman" w:hAnsi="Times New Roman"/>
          <w:sz w:val="18"/>
          <w:szCs w:val="18"/>
          <w:color w:val="auto"/>
        </w:rPr>
        <w:t>. Sales of goods revenues increased by US $91.8 million from US$611.2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US$703.1 million for the year ended December 31, 2025, primarily due to a US$236.1 million increase in the sales volume of automotive computing platform products, driven by an increase in the sales volume of Antora®, Venado™, and Pikes® series, partially offset by a US$145.6 million decrease from changes in the per unit price. Additionally, there was a US$6.3 million increase attributable to changes in SoC core modules unit price as a result of product mix change and a US$5.4 million decline from decreased sales volume of SoC core modules. Sales of automotive merchandise and other products increased by US$0.4 million from 2024 to 2025.</w:t>
      </w:r>
    </w:p>
    <w:p>
      <w:pPr>
        <w:spacing w:after="0" w:line="21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Software License Revenues</w:t>
      </w:r>
      <w:r>
        <w:rPr>
          <w:rFonts w:ascii="Times New Roman" w:cs="Times New Roman" w:eastAsia="Times New Roman" w:hAnsi="Times New Roman"/>
          <w:sz w:val="18"/>
          <w:szCs w:val="18"/>
          <w:color w:val="auto"/>
        </w:rPr>
        <w:t>. Software license service revenues decreased by US$12.8 million from US$42.5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to US$29.7 million for the year ended December 31, 2025, primarily driven by a decrease in intellectual property license revenue. Intellectual property license revenue was US$2.2 million in 2025 compared to US$17.2 million in 2024 as multiple projects reached mass production stage in that year generating license revenue.</w:t>
      </w:r>
    </w:p>
    <w:p>
      <w:pPr>
        <w:spacing w:after="0" w:line="21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Service revenues decreased by US$2.8 million from US$117.8 million for the year ended December 31, 2024 to US$115.1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2025, principally as a result of a decrease in the total value of design and development contracts for automotive computing platforms completed during the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7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22860</wp:posOffset>
            </wp:positionV>
            <wp:extent cx="19113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537,620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610,285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3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3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611,431</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686,596</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75,165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cost of revenues increased by US$75.2 million from US$611.4 million for the year ended December 31, 2024 to US$686.6 million for the year ended December 31, 2025. The increase was primarily driven by an increase in sales volume of automotive computing platform products and higher design and development contract cost, partially offset by a decrease in the cost of SoC core modules.</w:t>
      </w:r>
    </w:p>
    <w:p>
      <w:pPr>
        <w:sectPr>
          <w:pgSz w:w="11900" w:h="16838" w:orient="portrait"/>
          <w:cols w:equalWidth="0" w:num="1">
            <w:col w:w="11220"/>
          </w:cols>
          <w:pgMar w:left="320" w:top="576" w:right="3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ectPr>
          <w:pgSz w:w="11900" w:h="16838" w:orient="portrait"/>
          <w:cols w:equalWidth="0" w:num="1">
            <w:col w:w="11220"/>
          </w:cols>
          <w:pgMar w:left="320" w:top="576" w:right="359" w:bottom="1440" w:gutter="0" w:footer="0" w:header="0"/>
          <w:type w:val="continuous"/>
        </w:sectPr>
      </w:pPr>
    </w:p>
    <w:bookmarkStart w:id="83" w:name="page84"/>
    <w:bookmarkEnd w:id="83"/>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22860</wp:posOffset>
            </wp:positionV>
            <wp:extent cx="38830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11220"/>
          </w:cols>
          <w:pgMar w:left="320" w:top="171" w:right="359" w:bottom="0" w:gutter="0" w:footer="0" w:header="0"/>
        </w:sectPr>
      </w:pPr>
    </w:p>
    <w:p>
      <w:pPr>
        <w:spacing w:after="0" w:line="54" w:lineRule="exact"/>
        <w:rPr>
          <w:sz w:val="20"/>
          <w:szCs w:val="20"/>
          <w:color w:val="auto"/>
        </w:rPr>
      </w:pPr>
    </w:p>
    <w:p>
      <w:pPr>
        <w:ind w:left="40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36830</wp:posOffset>
            </wp:positionV>
            <wp:extent cx="19113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4040"/>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36830</wp:posOffset>
            </wp:positionV>
            <wp:extent cx="19113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36830</wp:posOffset>
            </wp:positionV>
            <wp:extent cx="19113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36830</wp:posOffset>
            </wp:positionV>
            <wp:extent cx="19113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6440" w:space="720"/>
            <w:col w:w="4060"/>
          </w:cols>
          <w:pgMar w:left="320" w:top="171" w:right="359" w:bottom="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00" w:type="dxa"/>
            <w:vAlign w:val="bottom"/>
          </w:tcPr>
          <w:p>
            <w:pPr>
              <w:spacing w:after="0"/>
              <w:rPr>
                <w:sz w:val="20"/>
                <w:szCs w:val="20"/>
                <w:color w:val="auto"/>
              </w:rPr>
            </w:pPr>
          </w:p>
        </w:tc>
      </w:tr>
      <w:tr>
        <w:trPr>
          <w:trHeight w:val="27"/>
        </w:trPr>
        <w:tc>
          <w:tcPr>
            <w:tcW w:w="2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160,099</w:t>
            </w:r>
          </w:p>
        </w:tc>
        <w:tc>
          <w:tcPr>
            <w:tcW w:w="19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161,262</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1,163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19.0</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gross profit increased from US$160.1 million for the year ended December 31, 2024 to US$161.3 million for the year ended December 31, 2025, mainly driven by the sales volume increase of automotive computing platform products. On the other hand, our gross margin decreased from 20.8% for the year ended December 31, 2024 to 19.0% for the year ended December 31, 2025, primarily attributed to the decrease of intellectual property license revenue which carries a higher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9"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22860</wp:posOffset>
            </wp:positionV>
            <wp:extent cx="19284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2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3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3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r>
      <w:tr>
        <w:trPr>
          <w:trHeight w:val="27"/>
        </w:trPr>
        <w:tc>
          <w:tcPr>
            <w:tcW w:w="3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282,995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216,035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(66,960)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US$51.6 million from US$174.9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to US$123.3 million for the year ended December 31, 2025, reflecting continued strategic resource prioritization and R&amp;D integration efforts.</w:t>
      </w:r>
    </w:p>
    <w:p>
      <w:pPr>
        <w:spacing w:after="0" w:line="201" w:lineRule="exact"/>
        <w:rPr>
          <w:sz w:val="20"/>
          <w:szCs w:val="20"/>
          <w:color w:val="auto"/>
        </w:rPr>
      </w:pPr>
    </w:p>
    <w:p>
      <w:pPr>
        <w:ind w:right="3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Our selling, general and administrative expenses decreased by US$14.4 million from US$108.2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to US$93.8 million for the year ended December 31, 2025, primarily driven by improved operating efficiencies, reduction in staff cost including share-based compensation expense, and lower outsourced consulting, and lease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had a loss from operations of US$54.8 million for the year ended December 31, 2025, narrowed by 55% in comparison with a loss from operations of US$122.9 million for the year ended December 31, 2024. The decrease was primarily attributable to the reduction in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interest income increased by US$0.6 million from US $3.1 million for the year ended December 31, 2024 to US$3.7 million for the year ended December 31, 2025, primarily due to the increase in loans to related parties made during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Our interest expense increased by US$5.2 million from US$18.6 million for the year ended December 31, 2024 to US$23.8 million for the year ended December 31, 2025, primarily due to an increase in short-term and long-term borrowings in 2025 compared to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from equity method investments</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recorded a gain from equity method investments in the amount of US $5.6 million for the year ended December 31, 2024 and US$1.2 million for the year ended December 31, 2025. The change was primarily due to a one-off gain of US$17.9 million in 2024 from the partial sale of equity interest in SiEngine in 2024, partially offset by losses from other equity method investments. During 2025, we recorded small gains from the sale of our investment in the joint venture we had with smart, equity pick up in U Chance and dividend income from ACO Tech in excess of the carrying value of investment.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(expenses) income, net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equity investments</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recorded a fair value loss of our investments in equity securities of US$6.1 million and US$0.2 million for the years ended December 31, 2024 and 2025, respectively, which was mainly affected by the market prices of these listed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recorded a loss in fair value of warrant liabilities of US$0.5 million for the year ended December 31, 2024, compared to a gain of US$0.1 million for the year ended December 31, 2025. The change in fair value was affected by the market price changes in our warrants between the two reporting dates.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2025, we recorded income from government grants totaling US$2.8 million and US$5.9 million, respectively, as a result of support and incentives from local governments, which primarily consisted of subsidies for research and development activities.</w:t>
      </w:r>
    </w:p>
    <w:p>
      <w:pPr>
        <w:sectPr>
          <w:pgSz w:w="11900" w:h="16838" w:orient="portrait"/>
          <w:cols w:equalWidth="0" w:num="1">
            <w:col w:w="11220"/>
          </w:cols>
          <w:pgMar w:left="320" w:top="171" w:right="359" w:bottom="0" w:gutter="0" w:footer="0" w:header="0"/>
          <w:type w:val="continuous"/>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 exchange gains, net</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recorded foreign currency exchange losses of US$1.2 million for the year ended December 31, 2025, compared to losses of US$1.0 million for the year ended December 31, 2024. The increase in foreign currency exchange losses was primarily attributable to the impact on non-functional currency transactions and account balances of the fluctuations in the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00" w:type="dxa"/>
            <w:vAlign w:val="bottom"/>
          </w:tcPr>
          <w:p>
            <w:pPr>
              <w:spacing w:after="0"/>
              <w:rPr>
                <w:sz w:val="24"/>
                <w:szCs w:val="24"/>
                <w:color w:val="auto"/>
              </w:rPr>
            </w:pPr>
          </w:p>
        </w:tc>
        <w:tc>
          <w:tcPr>
            <w:tcW w:w="31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2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20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of Goods Revenues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143,842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computing platform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385,886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536,582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SoC core modules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70,140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73,944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Merchandise and other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11,377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License Revenues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62,796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132,027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117,830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Automotive computing platform–design</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94,641</w:t>
            </w:r>
          </w:p>
        </w:tc>
        <w:tc>
          <w:tcPr>
            <w:tcW w:w="100" w:type="dxa"/>
            <w:vAlign w:val="bottom"/>
            <w:shd w:val="clear" w:color="auto" w:fill="CCEEFF"/>
          </w:tcPr>
          <w:p>
            <w:pPr>
              <w:spacing w:after="0"/>
              <w:rPr>
                <w:sz w:val="19"/>
                <w:szCs w:val="19"/>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78,470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development service</w:t>
            </w:r>
          </w:p>
        </w:tc>
        <w:tc>
          <w:tcPr>
            <w:tcW w:w="14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Connectivity service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31,142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34,112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6,244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662,226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109,304</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revenues increased by US$109.3 million from US$662.2 million for the year ended December 31, 2023 to US$771.5 million for the year ended December 31, 2024, primarily due to an increase in sales volume of automotive computing platform products with Geely Auto and Geely ecosystem brand-penetration, partially offset by a decline in software license revenue and services revenue.</w:t>
      </w:r>
    </w:p>
    <w:p>
      <w:pPr>
        <w:spacing w:after="0" w:line="188"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i w:val="1"/>
          <w:iCs w:val="1"/>
          <w:color w:val="auto"/>
        </w:rPr>
        <w:t>Sales of Goods Revenues</w:t>
      </w:r>
      <w:r>
        <w:rPr>
          <w:rFonts w:ascii="Times New Roman" w:cs="Times New Roman" w:eastAsia="Times New Roman" w:hAnsi="Times New Roman"/>
          <w:sz w:val="18"/>
          <w:szCs w:val="18"/>
          <w:color w:val="auto"/>
        </w:rPr>
        <w:t>. Sales of goods revenues increased by US$143.8 million from US$467.4 million for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US$611.2 million for the year ended December 31, 2024, primarily due to a US$188 million increase attributable to the increase in the sales volume of automotive computing platform products, driven by an increase in the sales volume of digital cockpits with Geely Auto and Geely ecosystem brand-penetration, and the ramping up of autonomous driving control unit (ADCU) sales volume, which was partially offset by a US$31 million decrease resulting from changes in the per unit price. Additionally, a US$18 million increase from SoC core modules unit price changes, offset by a US$13 million and US $10 million decline from lower sales volume of SoC modules and automotive merchandise and other products, respectively, contributed to the change between the two reporting periods.</w:t>
      </w:r>
    </w:p>
    <w:p>
      <w:pPr>
        <w:spacing w:after="0" w:line="212" w:lineRule="exact"/>
        <w:rPr>
          <w:sz w:val="20"/>
          <w:szCs w:val="20"/>
          <w:color w:val="auto"/>
        </w:rPr>
      </w:pPr>
    </w:p>
    <w:p>
      <w:pPr>
        <w:ind w:right="5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Software License Revenues</w:t>
      </w:r>
      <w:r>
        <w:rPr>
          <w:rFonts w:ascii="Times New Roman" w:cs="Times New Roman" w:eastAsia="Times New Roman" w:hAnsi="Times New Roman"/>
          <w:sz w:val="18"/>
          <w:szCs w:val="18"/>
          <w:color w:val="auto"/>
        </w:rPr>
        <w:t>. Software license service revenues decreased by US$20.3 million from US$62.8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to US$42.5 million for the year ended December 31, 2024, primarily driven by a decrease in the sales volume of navigation and operating software and decrease in intellectual property license revenue.</w:t>
      </w:r>
    </w:p>
    <w:p>
      <w:pPr>
        <w:spacing w:after="0" w:line="215"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Service revenues decreased by US$14.2 million from US$132.0 million for the year ended December 31, 2023 to US$117.8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principally as a result of a decrease in the total value of design and development contracts for automotive computing platforms completed during the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31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60" w:type="dxa"/>
            <w:vAlign w:val="bottom"/>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98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9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385,929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537,620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483,608</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611,431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127,823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Our cost of revenues increased by US$127.8 million from US$483.6 million for the year ended December 31, 2023 to US$611.4 million for the year ended December 31, 2024. The increase was primarily driven by an increase in sales volume of automotive computing platform products. The increased sales volume contributed to the increase in the cost of goods sold. The decrease in cost of services was mainly linked to the decrease in service revenue.</w:t>
      </w:r>
    </w:p>
    <w:p>
      <w:pPr>
        <w:sectPr>
          <w:pgSz w:w="11900" w:h="16838" w:orient="portrait"/>
          <w:cols w:equalWidth="0" w:num="1">
            <w:col w:w="11220"/>
          </w:cols>
          <w:pgMar w:left="320" w:top="119" w:right="359" w:bottom="829"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ectPr>
          <w:pgSz w:w="11900" w:h="16838" w:orient="portrait"/>
          <w:cols w:equalWidth="0" w:num="1">
            <w:col w:w="11220"/>
          </w:cols>
          <w:pgMar w:left="320" w:top="119" w:right="359" w:bottom="829"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1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460" w:type="dxa"/>
            <w:vAlign w:val="bottom"/>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0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gross profits decreased from US$178.6 million for the year ended December 31, 2023 to US$160.1 million for the year ended December 31, 2024. The decrease in gross margin was attributable to the aggressive competition in the automotive sector, the pricing strategy implemented to stimulate automotive computing platform revenue growth, and a shift in the overall revenue mix in 2024 compared to the prior year. As a result, our gross margins decreased from 27.0% for the year ended December 31, 2023 to 20.8% for the year ended December 31, 2024, a decrease in gross margin of 6.2% percentage points.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22860</wp:posOffset>
            </wp:positionV>
            <wp:extent cx="19888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9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7"/>
        </w:trPr>
        <w:tc>
          <w:tcPr>
            <w:tcW w:w="3400" w:type="dxa"/>
            <w:vAlign w:val="bottom"/>
          </w:tcPr>
          <w:p>
            <w:pPr>
              <w:spacing w:after="0"/>
              <w:rPr>
                <w:sz w:val="19"/>
                <w:szCs w:val="19"/>
                <w:color w:val="auto"/>
              </w:rPr>
            </w:pPr>
          </w:p>
        </w:tc>
        <w:tc>
          <w:tcPr>
            <w:tcW w:w="3540" w:type="dxa"/>
            <w:vAlign w:val="bottom"/>
            <w:gridSpan w:val="5"/>
          </w:tcPr>
          <w:p>
            <w:pPr>
              <w:jc w:val="center"/>
              <w:ind w:left="99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7"/>
        </w:trPr>
        <w:tc>
          <w:tcPr>
            <w:tcW w:w="3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1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308,634</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282,995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(25,639)</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1"/>
        </w:trPr>
        <w:tc>
          <w:tcPr>
            <w:tcW w:w="3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US$2.8 million from US$177.7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to US$174.9 million for the year ended December 31, 2024.</w:t>
      </w:r>
    </w:p>
    <w:p>
      <w:pPr>
        <w:spacing w:after="0" w:line="186" w:lineRule="exact"/>
        <w:rPr>
          <w:sz w:val="20"/>
          <w:szCs w:val="20"/>
          <w:color w:val="auto"/>
        </w:rPr>
      </w:pPr>
    </w:p>
    <w:p>
      <w:pPr>
        <w:ind w:right="3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Our selling, general and administrative expenses decreased by US$23.5 million from US$131.7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to US$108.2 million for the year ended December 31, 2024, primarily driven by improved operating efficiencies, a reduction in staff cost including share-based compensation expense, and lower outsourced consulting, and IT expenses.</w:t>
      </w:r>
    </w:p>
    <w:p>
      <w:pPr>
        <w:spacing w:after="0" w:line="18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Our other income represents recharges of certain management expenses to a related party. There were no recharges in 2024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discontinuance of the contractual arrangement with the related party.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had a loss from operations of US$122.9 million for the year ended December 31, 2024, narrowed by 5% in comparison with a loss from operations of US$130.0 million for the year ended December 31, 2023. The decrease primarily attributable to the reduction in operating expenses, partially offset by a decline in gross margin due to competitive industry dynamics and the pricing strategy implemented to expand market share and revenue growth for automotive computing platform, as well as a shift in the overall revenue mix in 2024 compared to the prior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interest income decreased by US$1.2 million from US $4.3 million for the year ended December 31, 2023 to US$3.1 million for the year ended December 31, 2024, primarily due to the decrease in loans to related parties made during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Our interest expense increased by US$7.4 million from US$11.2 million for the year ended December 31, 2023 to US$18.6 million for the year ended December 31, 2024, primarily due to additional interests accrued on convertible notes and increased short-term borrowings in 2024 compared to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from equity method investments</w:t>
      </w:r>
    </w:p>
    <w:p>
      <w:pPr>
        <w:spacing w:after="0" w:line="10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recorded a loss from equity method investments in the amount of US$6.1 million for the year ended December 31, 2023 and a gain from equity method investments in the amount of US$5.6 million for the year ended December 31, 2024. The change was primarily due to a gain of US$17.9 million from the partial sale of equity interest in SiEngine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(expenses) income, net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an equity security</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recorded a fair value loss of an equity security of US$3.2 million and US$6.1 million for the years ended December 31, 2023 and 2024, respectively, which was mainly affected by the market prices of this listed equity security.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recorded a gain in fair value of warrant liabilities of US$1.7 million for the year ended December 31, 2023, compared to a loss of US$0.5 million for the year ended December 31, 2024. The change in fair value is affected by the market price changes in warrants between two reporting dates.</w:t>
      </w:r>
    </w:p>
    <w:p>
      <w:pPr>
        <w:sectPr>
          <w:pgSz w:w="11900" w:h="16838" w:orient="portrait"/>
          <w:cols w:equalWidth="0" w:num="1">
            <w:col w:w="11180"/>
          </w:cols>
          <w:pgMar w:left="320" w:top="171" w:right="399" w:bottom="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119"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2023 and 2024, we recorded income from government grants totaling US$1.7 million and US$2.8 million, respectively, as a result of support and incentives from local governments, which primarily consisted of subsidies for research and development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gains, net</w:t>
      </w:r>
    </w:p>
    <w:p>
      <w:pPr>
        <w:spacing w:after="0" w:line="1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recorded foreign currency exchange losses of US$1.0 million for the year ended December 31, 2024, compared to losses of US$1.5 million for the year ended December 31, 2023. The decrease in foreign currency exchange losses was primarily attributable to the impact on non-functional currency transactions and account balances of the fluctuations in the foreign currency exchange rates.</w:t>
      </w:r>
    </w:p>
    <w:p>
      <w:pPr>
        <w:spacing w:after="0" w:line="172" w:lineRule="exact"/>
        <w:rPr>
          <w:sz w:val="20"/>
          <w:szCs w:val="20"/>
          <w:color w:val="auto"/>
        </w:rPr>
      </w:pPr>
    </w:p>
    <w:p>
      <w:pPr>
        <w:jc w:val="center"/>
        <w:ind w:right="8400"/>
        <w:spacing w:after="0"/>
        <w:tabs>
          <w:tab w:leader="none" w:pos="120" w:val="left"/>
        </w:tabs>
        <w:rPr>
          <w:sz w:val="20"/>
          <w:szCs w:val="20"/>
          <w:color w:val="auto"/>
        </w:rPr>
      </w:pPr>
      <w:r>
        <w:rPr>
          <w:rFonts w:ascii="Times New Roman" w:cs="Times New Roman" w:eastAsia="Times New Roman" w:hAnsi="Times New Roman"/>
          <w:sz w:val="18"/>
          <w:szCs w:val="18"/>
          <w:b w:val="1"/>
          <w:bCs w:val="1"/>
          <w:color w:val="auto"/>
        </w:rPr>
        <w:t>B.</w:t>
        <w:tab/>
        <w:t>Liquidity and Capital Resources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540" w:type="dxa"/>
            <w:vAlign w:val="bottom"/>
            <w:gridSpan w:val="5"/>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r>
      <w:tr>
        <w:trPr>
          <w:trHeight w:val="37"/>
        </w:trPr>
        <w:tc>
          <w:tcPr>
            <w:tcW w:w="5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100" w:type="dxa"/>
            <w:vAlign w:val="bottom"/>
          </w:tcPr>
          <w:p>
            <w:pPr>
              <w:spacing w:after="0"/>
              <w:rPr>
                <w:sz w:val="16"/>
                <w:szCs w:val="16"/>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19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5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5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9"/>
                <w:szCs w:val="19"/>
                <w:color w:val="auto"/>
              </w:rPr>
            </w:pPr>
          </w:p>
        </w:tc>
      </w:tr>
      <w:tr>
        <w:trPr>
          <w:trHeight w:val="37"/>
        </w:trPr>
        <w:tc>
          <w:tcPr>
            <w:tcW w:w="5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Consolidated Cash Flow Data</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(94,391)</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(70,482)</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203,863</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43,092</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end of the year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93,256</w:t>
            </w:r>
          </w:p>
        </w:tc>
      </w:tr>
    </w:tbl>
    <w:p>
      <w:pPr>
        <w:spacing w:after="0" w:line="333"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operating and investing activities primarily through cash generated from financing activities (including credit facilities).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Related party borrowings</w:t>
      </w:r>
    </w:p>
    <w:p>
      <w:pPr>
        <w:spacing w:after="0" w:line="24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2023, 2024 and 2025, we borrowed unsecured loans with aggregated principal amounts of US$44.5 million, US$41.8 million and US$111.3 million, respectively, from Geely Holding and its subsidiaries, bearing weighted-average interest rates of 4.1%, 3.9% and 3.9% per annum, respectively. During the same periods, we repaid loans totaling US$44.5 million, US$41.8 million and US$84.1 million, respectively. Of the 2025 repayments, US$29.4 million was settled through debt assignments and offset arrangements.</w:t>
      </w:r>
    </w:p>
    <w:p>
      <w:pPr>
        <w:spacing w:after="0" w:line="20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In March 2024, we entered into an accounts receivable factoring agreement with a finance company of Geely Holding with a minimum interest rate of 6.0% per annum. In October 2024, the interest rate was reduced to 4.8% per annum and the factoring limits were increased from US$20 million to US$35 million. In March 2025, we paid US$21 million and concurrently received US$21 million. In July 2025 and August 2025, we received a further US$3 million and US$4 million, respectively. In September US$21 million was repaid and renewed. In November 2025, we repaid US$28 million and concurrently received US$28 million. In November 2025, the interest rate increased to 5.0% per annum and the factoring limit remained unchanged.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Bank borrowings</w:t>
      </w:r>
    </w:p>
    <w:p>
      <w:pPr>
        <w:spacing w:after="0" w:line="241" w:lineRule="exact"/>
        <w:rPr>
          <w:sz w:val="20"/>
          <w:szCs w:val="20"/>
          <w:color w:val="auto"/>
        </w:rPr>
      </w:pPr>
    </w:p>
    <w:p>
      <w:pPr>
        <w:ind w:right="100" w:firstLine="648"/>
        <w:spacing w:after="0" w:line="280" w:lineRule="auto"/>
        <w:rPr>
          <w:sz w:val="20"/>
          <w:szCs w:val="20"/>
          <w:color w:val="auto"/>
        </w:rPr>
      </w:pPr>
      <w:r>
        <w:rPr>
          <w:rFonts w:ascii="Times New Roman" w:cs="Times New Roman" w:eastAsia="Times New Roman" w:hAnsi="Times New Roman"/>
          <w:sz w:val="17"/>
          <w:szCs w:val="17"/>
          <w:color w:val="auto"/>
        </w:rPr>
        <w:t>For the years ended December 31, 2023, 2024 and 2025, we borrowed loans with aggregated principal amounts of US$208.8 million, US$222.4 million and US$334.0 million, respectively, from banks in mainland China, bearing weighted-average interest rates of 3.9% ,3.9% and 3.7% per annum, respectively. During the same periods, we repaid loans with principal amount of US$163.2 million, US$201.6 million and US$216.6 million, respectively.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4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October 2025, we entered into the 2025 ATW Convertible Note Purchase Agreement with ATW Mobility SPV LLC under which we agreed to issue and sell, in one or more registered direct offerings by us directly to the investor the 2025 ATW Convertible Notes for up to an aggregate principal amount of US$150,000,000 that will be convertible into Class A Ordinary Shares. We issued and sold to ATW Mobility SPV LLC a 2025 ATW Convertible Note in the original principal amount of US$50,000,000 on October 30, 2025.</w:t>
      </w:r>
    </w:p>
    <w:p>
      <w:pPr>
        <w:spacing w:after="0" w:line="2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November 2025, we entered into the 2025 Convertible Note Purchase Agreement with an existing holder of the 2022 Notes. The 2025 Convertible Note Purchase Agreement contemplates the issuance and sale by us of up to US$100 million of the 2025 Convertible Notes on terms similar to the 2022 Notes in connection with the refinancing of the 2022</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Notes. US$60 million of the 2025 Convertible Notes were issued and subscribed to in November 2025 and US$40 million in February 2026 pursuant to the 2025 Convertible Note Purchase Agreement and on terms similar to the 2022 Notes.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41"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On March 28, 2025, we issued 25,000,000 Class A ordinary shares upon a follow-on public offering at a public offering price of US$1.80 per share. We received net proceeds of US$42.6 million.</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January 2026, we entered into a subscription agreement with Geely Investment Holding Ltd. Pursuant to the terms of the agreement, Geely Investment Holding Ltd. subscribed for and purchased from us, through a private placement, a total of 27,297,002 newly issued Class A Ordinary Shares at</w:t>
      </w:r>
    </w:p>
    <w:p>
      <w:pPr>
        <w:sectPr>
          <w:pgSz w:w="11900" w:h="16838" w:orient="portrait"/>
          <w:cols w:equalWidth="0" w:num="1">
            <w:col w:w="11220"/>
          </w:cols>
          <w:pgMar w:left="320" w:top="119" w:right="359" w:bottom="0" w:gutter="0" w:footer="0" w:header="0"/>
        </w:sectPr>
      </w:pPr>
    </w:p>
    <w:bookmarkStart w:id="87" w:name="page88"/>
    <w:bookmarkEnd w:id="87"/>
    <w:p>
      <w:pPr>
        <w:spacing w:after="0" w:line="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price of US$1.67 per ordinary share, for a total purchase price of US$45.6 million. The Class A Ordinary Shares purchased by Geely Investment Holding Ltd. in this private placement are subject to a six-month lock-up period with certain customary exceptions.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incurred losses since inception. As of December 31, 2025, we had an accumulated deficit of US$1,190.5 million and its consolidated current liabilities exceeded current assets in the amount of US$339.8 million. In addition, we recorded net cash used in operating activities in the amount of US$94.4 million for the year ended December 31, 2025. We will require additional liquidity to continue our operations over the next 12 months.</w:t>
      </w:r>
    </w:p>
    <w:p>
      <w:pPr>
        <w:spacing w:after="0" w:line="20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Historically, we had relied principally on proceeds from the issuance of redeemable convertible preferred shares, convertible notes, and bank and related party borrowings to finance our operations and business expansion. We have evaluated plans to continue as a going concern which include, but are not limited to, (i) reducing discretionary capital and operating expenses; (ii) obtaining additional facilities from banks and renewal of existing bank borrowings; (iii) issuance of new equity and convertible debt securities; (iv) obtaining extended financial support from controlling shareholder and related parties; and (v) accelerating pace of collections of amounts due from related and third parties to optimize operational efficiency. Subsequent to December 31, 2025, the Company has secured a new issuance of Class A ordinary shares totaling US$45.6 million from Geely Investment Holding Ltd. and issued US$40 million of 2025 Convertible Notes pursuant to the 2025 Convertible Note Purchase Agreement. Notwithstanding this, feasibility of some of these plans is contingent upon factors outside of the control of us and as such we concluded that substantial doubt about its ability to continue as a going concern has not been alleviated as of the reporting date. See “Item 3. Key Information—D. Risk Factors—Risks Relating to Our Business and Industry—We had negative net cash flows from operations in the past and have not been profitable, which may continue in the future. A note regarding our ability to continue as a going concern has been included in our consolidated financial statements.”</w:t>
      </w:r>
    </w:p>
    <w:p>
      <w:pPr>
        <w:spacing w:after="0" w:line="21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 the event that additional financing is required from third party sources, we may not be able to raise it on acceptable terms or at all. See “Item 3. Key Information—D. Risk Factors—Risks Relating to Our Business and Industry—Our business plans require a significant amount of capital. In addition, our future capital needs may require us to sell additional equity or debt securities that may dilute our shareholders or introduce covenants that may restrict our operations or our ability to pay dividends.” The issuance and sale of additional equity would also result in further dilution to our shareholders. The incurrence of indebtedness would result in increasing fixed obligations and could result in operating covenants that would restrict our operations.</w:t>
      </w:r>
    </w:p>
    <w:p>
      <w:pPr>
        <w:spacing w:after="0" w:line="21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had cash and restricted cash of US$93.3 million as of December 31, 2025. As of December 31, 2025, US$80.7 million of our cash and cash equivalents were held in China and US$2.1 million were denominated in U.S. dollars. Substantially all of our revenues have been, and we expect them to continue to be, denominated in Renminbi in the short-term.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subsidiaries are allowed to pay dividends in foreign currencies to us without prior SAFE approval by following certain routine procedural requirements. However, approval from or registration with competent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Economic uncertainty in China and around the world could also adversely affect our liquidity and capital resources in the future, and our cash requirements may fluctuate based on the timing and extent of many factors such as those discussed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used in operating activities increased by US$34.4 million from December 31, 2024 to 2025, primarily attributable to increases in</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inventories and amounts due from related parties, increases in accounts payable and amounts due to related parties offset by a lower level of non-cash items compared to 2024.</w:t>
      </w:r>
    </w:p>
    <w:p>
      <w:pPr>
        <w:spacing w:after="0" w:line="21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US$94.4 million. The difference between our cash used in operating activities and our net loss of US$68.9 million for the same year from operations was attributable to certain non-cash items, primarily consisting of share-based compensation of US$13.3 million and depreciation and amortization of US$19.9 million, and certain changes in working capital accounts, primarily consisting of (i) increase in inventories of US $31.9 million, (ii) increase in amounts due from related parties of US$30.8 millions, (iii) increase in amounts due to related parties of US$20.4 million, and (iv) decrease in contract liabilities of US$19.0 million.</w:t>
      </w:r>
    </w:p>
    <w:p>
      <w:pPr>
        <w:spacing w:after="0" w:line="21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by US$112.5 million from December 31, 2023 to 2024, primarily attributable to improvements in cash conversion cycle with accelerated accounts receivable collection, as well as narrowed net loss.</w:t>
      </w:r>
    </w:p>
    <w:p>
      <w:pPr>
        <w:spacing w:after="0" w:line="189"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US$60.0 million. The difference between our net cash used in operating activities and our net loss of US$137.8 million for the same period from continuing operations was attributable to certain non-cash items, primarily consisting of share-based compensation expense of US$19.1 million, depreciation and amortization of US$20.6 million, and certain changes in working capital accounts, primarily consisting of (i) decrease in accounts receivable of US $46.2 million, (ii) decrease in prepayments and other current assets and other non-current assets of US$22.4 million, (iii) decrease in contract liabilities of US$21.6 million, (iv) decrease in accrued expenses and other current liabilities and income taxes payable of US$17.2 million, (iv) decrease in accounts payable of US$12.3 million, and (v) increase in notes payable of US$17.9 million.</w:t>
      </w:r>
    </w:p>
    <w:p>
      <w:pPr>
        <w:spacing w:after="0" w:line="216"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US$172.4 million. The difference between our net cash used in operating activities and our net loss of US$143.9 million for the same period from continuing operations was attributable to certain non-cash items, primarily consisting of share-based compensation of US$24.9 million, depreciation and amortization of US $12.1 million, and loss from equity method investments of US$6.1 million, and certain changes in working capital accounts, primarily consisting of (i) increase in accounts receivable of US$80.4 million, (ii) increase in accounts payable of US$48.0 million, and (iii) decrease in contract liabilities of US$39.5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US$70.5 million for the year ended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xml:space="preserve"> compared with net cash used in investing activities of US$8.1 million for the year ended December 31, 2024. The change mainly due to a higher level of short-term investments compared to 2024 and a new investment in convertible loan in 2025.</w:t>
      </w:r>
    </w:p>
    <w:p>
      <w:pPr>
        <w:spacing w:after="0" w:line="204"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 xml:space="preserve">For the year ended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net cash used in investing activities was US$70.5 million, which was mainly attributable to (i) cash paid for available-for-sale debt investment of US$43.0 million, (ii) cash paid for equity securities of US$17.0 million, (iii) net cash paid for short-term investments of US$12.4 million, and (iv) payments for purchase of property and equipment and intangible assets of US$12.2 million, partially offset by (v) cash received from partial sale of equity interest in SiEngine of US$17.9 million.</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US$8.1 million for the year ended December 31, 2024 compared with net cash provided by investing activities of US$87.3 million for the year ended December 31, 2023. The change mainly due to the collection of proceeds from the sale of Zenseact in 2023 of US$115.0 million.</w:t>
      </w:r>
    </w:p>
    <w:p>
      <w:pPr>
        <w:sectPr>
          <w:pgSz w:w="11900" w:h="16858" w:orient="portrait"/>
          <w:cols w:equalWidth="0" w:num="1">
            <w:col w:w="11220"/>
          </w:cols>
          <w:pgMar w:left="320" w:top="108" w:right="359" w:bottom="0" w:gutter="0" w:footer="0" w:header="0"/>
        </w:sectPr>
      </w:pPr>
    </w:p>
    <w:bookmarkStart w:id="88" w:name="page89"/>
    <w:bookmarkEnd w:id="88"/>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US$8.1 million, which was mainly attributable to (i) payments for purchase of property and equipment and intangible assets of US$15.9 million, (ii) cash paid for acquisition of equity method investments of</w:t>
      </w:r>
    </w:p>
    <w:p>
      <w:pPr>
        <w:spacing w:after="0" w:line="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US$7.5 million, and (iii) payments for acquisition of Suzhou Photon-Matrix, net of cash acquired of US$6.3 million, partially offset by (iv) proceeds from sale of HaleyTek AB of US$19.9 million, and (v) net cash proceeds from short-term investments of US$2.0 million.</w:t>
      </w:r>
    </w:p>
    <w:p>
      <w:pPr>
        <w:spacing w:after="0" w:line="20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net cash provided by investing activities was US$87.3 million, which was mainly attributable to proceeds from sale of Zenseact of US$115.0 million received during the year, partially offset by payments for purchase of property and equipment and intangible assets of US$8.9 million and cash paid for acquisition of short-term investment of US$22.5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increased by US$167.5 million from US$36.4 million for the year ended December 31, 2024 to US$203.9 million for the year ended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primarily due to an increase of US$96.5 million in net borrowings from banks and financial institutions in 2025 compared to 2024, a net increase in convertible notes of US$41.2 million in 2025 and issuance of new equity of US$43.2 millions in 2025.</w:t>
      </w:r>
    </w:p>
    <w:p>
      <w:pPr>
        <w:spacing w:after="0" w:line="194" w:lineRule="exact"/>
        <w:rPr>
          <w:sz w:val="20"/>
          <w:szCs w:val="20"/>
          <w:color w:val="auto"/>
        </w:rPr>
      </w:pPr>
    </w:p>
    <w:p>
      <w:pPr>
        <w:jc w:val="both"/>
        <w:ind w:right="160" w:firstLine="648"/>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US $203.9 million, which was mainly attributable to (i) net proceeds from bank borrowings and borrowings from related parties of US$151.9 million, (ii) net proceeds from issuance of ordinary shares upon follow-on public offering of US$42.6 million, and (iii) net proceeds from issuance of convertible notes of US$106.2 million, partially offset by (iii) repayment of convertible notes of US$65.0 million, and (v) cash paid for repurchase of ordinary shares of US$29.0 million.</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decreased by US $$4.2 million from US$40.6 million for the year ended December 31, 20233 to US$36.4 million for the year ended December 31, 2024, primarily due to net change in short-term borrowings from banks and related parties and financing for the acquisition of intangible assets.</w:t>
      </w:r>
    </w:p>
    <w:p>
      <w:pPr>
        <w:spacing w:after="0" w:line="204"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2024, net cash provided by financing activities was US$36.4 million, which was mainly attributable to (i) net increase in borrowings from banks of US$20.9 million, (ii) from related parties of US$21.0 million; and (iii) receipt of government grants of US$7.0 million, partially offset by the financing for (i) the purchase of intangible assets of US$7.3 million and (ii) repurchase of ordinary shares of US$3.0 million.</w:t>
      </w:r>
    </w:p>
    <w:p>
      <w:pPr>
        <w:spacing w:after="0" w:line="186" w:lineRule="exact"/>
        <w:rPr>
          <w:sz w:val="20"/>
          <w:szCs w:val="20"/>
          <w:color w:val="auto"/>
        </w:rPr>
      </w:pPr>
    </w:p>
    <w:p>
      <w:pPr>
        <w:jc w:val="both"/>
        <w:ind w:right="30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US$40.6 million, primarily consisting of (i) net proceeds from short-term bank borrowings and borrowings from related parties of US$45.6 million, (ii) receipt of government grants of US$6.9 million, partially offset by (iii) cash paid for the costs of the merger of US$11.3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Our capital expenditures are primarily incurred for the purchase of property, equipment, and intangible assets. Our total capital expenditures were US$8.9 million, US$15.9 million and US $12.2 million for the years ended December 31, 2023, 2024 and 2025, respectively. We will continue to make capital expenditures to meet the needs of our research and development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research and development, and our capital expenditure, our material cash requirements as of December 31, 2025 and any subsequent interim period primarily include interest and principal payments for our borrowings from banks and related parties, convertible notes, operating lease commitments, purchase commitments, and capital commitments.</w:t>
      </w:r>
    </w:p>
    <w:p>
      <w:pPr>
        <w:spacing w:after="0" w:line="204"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Our operating lease commitment primarily consists of future minimum lease rentals payable under non-cancellable term of operating lease agreements for our offices and production facilities.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purchase commitment primarily consists of future minimum purchase commitment related to the purchase of research and development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commitment primarily consists of total capital expenditures contracted but not yet reflected in the consolidated financial statements.</w:t>
      </w:r>
    </w:p>
    <w:p>
      <w:pPr>
        <w:spacing w:after="0" w:line="239"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In December 2025, we entered into a subscription agreement with Lotus Technology Inc. (Nasdaq: LOT), and strategically invested US$23 million through a private placement. Pursuant to the agreement, we subscribed for a total of 16,788,321 newly issued ordinary shares of Lotus Technology Inc. at a price of US$1.37 per ordinary share. The ordinary shares issued in this private placement are subject to a six-month lock-up period, with certain customary exceptions. Our investment commitment is towards the remaining tranche of this investment of US$6.0 million.</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additional loan facilities from banks, financial support from controlling shareholder, future equity offerings, as well as renewing our existing bank loans when they fall due, as necessary, although such plans are contingent upon many factors out of our control. We will continue to make cash commitments, including capital expenditures, to support the growth of our business.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ectPr>
          <w:pgSz w:w="11900" w:h="16838" w:orient="portrait"/>
          <w:cols w:equalWidth="0" w:num="1">
            <w:col w:w="11240"/>
          </w:cols>
          <w:pgMar w:left="320" w:top="351" w:right="339" w:bottom="1440" w:gutter="0" w:footer="0" w:header="0"/>
          <w:type w:val="continuous"/>
        </w:sectPr>
      </w:pPr>
    </w:p>
    <w:bookmarkStart w:id="89" w:name="page90"/>
    <w:bookmarkEnd w:id="89"/>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26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2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0"/>
        </w:trPr>
        <w:tc>
          <w:tcPr>
            <w:tcW w:w="2660" w:type="dxa"/>
            <w:vAlign w:val="bottom"/>
          </w:tcPr>
          <w:p>
            <w:pPr>
              <w:spacing w:after="0"/>
              <w:rPr>
                <w:sz w:val="16"/>
                <w:szCs w:val="16"/>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3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Over 5 Years</w:t>
            </w:r>
          </w:p>
        </w:tc>
      </w:tr>
      <w:tr>
        <w:trPr>
          <w:trHeight w:val="37"/>
        </w:trPr>
        <w:tc>
          <w:tcPr>
            <w:tcW w:w="26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2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2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commitment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commitment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commitment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banks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399,996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374,250</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4,352</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6,716</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3,741</w:t>
            </w:r>
          </w:p>
        </w:tc>
      </w:tr>
      <w:tr>
        <w:trPr>
          <w:trHeight w:val="27"/>
        </w:trPr>
        <w:tc>
          <w:tcPr>
            <w:tcW w:w="26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outstanding balance of 2025 ATW Convertible Notes payable was US$38.8 million, which will be due in 2026.</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outstanding balance of 2025 Convertible Notes payable was US$60.3 million, which will be due in 2028.</w:t>
      </w:r>
    </w:p>
    <w:p>
      <w:pPr>
        <w:spacing w:after="0" w:line="2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than as shown above, we did not have any significant capital and other commitments, long-term obligations, or guarantees as of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Sheets Arrangements</w:t>
      </w:r>
    </w:p>
    <w:p>
      <w:pPr>
        <w:spacing w:after="0" w:line="216"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ECARX Holdings Inc. is a holding company with no material operations of its own. We conduct our operations in China through our PRC subsidiaries and, prior to the Restructuring, also through our former VIE, Hubei ECARX. As a result, our ability to pay dividends depends significantly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 permitted to pay dividends to us only out of their retained earnings, if any, as determined in accordance with the accounting standards and regulations in mainland China. Under the PRC law, each of our mainland China subsidiaries and, prior to the Restructuring, Hubei ECARX, is required to set aside at least 10% of its after-tax profits each year, if any, after making up previous years’ accumulated losses, if any, to fund certain statutory reserve funds until such reserve funds reach 50% of its registered capital. In addition, each of our wholly foreign-owned subsidiaries in mainland China may allocate a portion of its after-tax profits based on the accounting standards in mainland China to enterprise expansion funds and staff bonus and welfare funds at its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To date, inflation in mainland China has not materially impacted our results of operations. According to the National Bureau of Statistics of China, the year-over-year percent change in the consumer price index for December 2023, 2024 and 2025 were a decrease of 0.3%, an increase of 0.2% and 0.8%, respectively. Although we have not been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affected by inflation in the past, we can provide no assurance that we will not be affected by higher rates of inflation in China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2(ee) of our consolidated financial statements included elsewhere in this annual report.</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 of this annual report.</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56"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total revenues, income, profitability, liquidity or capital resources, or that would cause the disclosed financial information to be not necessarily indicative of future results of operations or financial conditions.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tab/>
        <w:t>Critical Accounting Estimates</w:t>
      </w:r>
    </w:p>
    <w:p>
      <w:pPr>
        <w:spacing w:after="0" w:line="202"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In doing so, we have to make estimates and assumptions. Our critical accounting estimates are those estimates that involve a significant level of uncertainty at the time the estimate is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w:t>
      </w:r>
    </w:p>
    <w:p>
      <w:pPr>
        <w:spacing w:after="0" w:line="185"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ectPr>
          <w:pgSz w:w="11900" w:h="16908" w:orient="portrait"/>
          <w:cols w:equalWidth="0" w:num="1">
            <w:col w:w="11240"/>
          </w:cols>
          <w:pgMar w:left="320" w:top="169" w:right="339"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measure the cost of employee and non-employee services received in exchange for an award of equity instruments based on the grant-date fair value of the award and recognizes the cost over the period the employee and non-employee is required to provide service in exchange for the award, which generally is the vesting period. For awards with performance conditions, compensation cost is recognized over the estimated vesting period if it is probable that the performance condition will be achieved.</w:t>
      </w:r>
    </w:p>
    <w:p>
      <w:pPr>
        <w:spacing w:after="0" w:line="19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fair value of restricted stock units, or RSUs, and options is estimated using the binomial model and the Performance Share Unit, or PSUs is estimated using the Monte-Carlo simulation model with certain assumptions. The expected volatility for RSUs, options and PSUs was estimated based on the historical volatility of comparable peer public companies with a time horizon close to the expected term of our RSUs, option and PSUs. With respect to the RSUs and options issued in US$, the risk-free interest rate was separately estimated based on the yield to maturity of U.S. Treasury bonds for a term consistent with the expected term of our RSUs, options and PSUs in effect at the valuation date. Expected dividend yield is zero as we do not anticipate any dividend payments in the foreseeable future. Expected term is the contract life of the RSUs, options and PSUs.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We test long-lived assets for impairment whenever events or changes in circumstances indicate that the carrying amount of an asset group may not be recoverable. If the carrying amount of an asset group exceeds its estimated undiscounted future cash flows, an impairment loss is recognized in the amount of the excess of the asset group’s carrying value over its fair value. We determine the fair value of the asset group based on the forecasted discounted cash flows. Significant inputs used in the income approach primarily included revenue growth rates and discount rate. For the years ended December 31, 2023, 2024 and 2025, impairment losses of US$1.4 million, US$0.2 million and US$3.4 million were recognized, respectively.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our executive officers and directors as of the date of this annual report. Our board of directors is comprised of six directors.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80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7"/>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Ziyu Shen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Zenggang Liu</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Lone Fønss Schrøder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Jim Zhang (Zhang Xingsheng)</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Grace Hui Tang</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 Hong Heng</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Cirino</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Dylan Da-Long Jeng</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Ziyu Shen </w:t>
      </w:r>
      <w:r>
        <w:rPr>
          <w:rFonts w:ascii="Times New Roman" w:cs="Times New Roman" w:eastAsia="Times New Roman" w:hAnsi="Times New Roman"/>
          <w:sz w:val="18"/>
          <w:szCs w:val="18"/>
          <w:color w:val="auto"/>
        </w:rPr>
        <w:t>has served as our director and Chief Executive Officer since November 2019 and our Chairman since May 2021. Mr. Shen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and Chief Executive Officer of Hubei ECARX since 2017. In addition to his current roles in our company, Mr. Shen is also serving as a director of DREAMSMART TECHNOLOGY PTE. LTD. and as Chairman and Chief Executive Officer of Hubei Xingji Meizu Group Co., Ltd. Prior to founding ECARX, Mr. Shen served as General Manager of Shanghai Pateo Network Technology Service Co., Ltd. from October 2012 to March 2016. Earlier in his career, Mr. Shen was an industry director of T-Systems P. R. China Ltd. from October 2011 to October 2012, and before then he worked at Shanghai OnStar Telematics Service Co., Ltd. as senior manager from August 2009 to October 2011, and had worked as an engineer and then as a senior manager at Shanghai General Motors Company Limited from August 2006 to August 2008. Mr. Shen received a master’s degree in electronics and communication engineering from Shanghai Jiao Tong University in 2011.</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Zenggang Liu </w:t>
      </w:r>
      <w:r>
        <w:rPr>
          <w:rFonts w:ascii="Times New Roman" w:cs="Times New Roman" w:eastAsia="Times New Roman" w:hAnsi="Times New Roman"/>
          <w:sz w:val="18"/>
          <w:szCs w:val="18"/>
          <w:color w:val="auto"/>
        </w:rPr>
        <w:t>has served as our director since January 2025. Mr. Liu joined Baidu in 2014 and currently serves as the deputy general manager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Baidu Maps. He oversees Baidu Maps’ open platform business and navigation business, and has amassed substantial experience in the mapping industry. Mr. Liu received a bachelor's degree from Harbin Institute of Technology and a master's degree from Northeastern University.</w:t>
      </w:r>
    </w:p>
    <w:p>
      <w:pPr>
        <w:spacing w:after="0" w:line="19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Lone Fønss Schrøder </w:t>
      </w:r>
      <w:r>
        <w:rPr>
          <w:rFonts w:ascii="Times New Roman" w:cs="Times New Roman" w:eastAsia="Times New Roman" w:hAnsi="Times New Roman"/>
          <w:sz w:val="18"/>
          <w:szCs w:val="18"/>
          <w:color w:val="auto"/>
        </w:rPr>
        <w:t>has served as a director since October 2025. Ms. Schroeder is an experienced international CEO and Chairperson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of leadership across the automotive, technology, finance, retail and industrial sectors. She has been a driving force behind high-impact partnerships among leading industry players, shaping transformative collaboration and innovation across the global industrial landscape. She currently serves as Chairperson of Geely Sweden Holdings AB and IKEA’s Ikano Bank, and as Chair of the Nomination Committee at Volvo Cars, where she has been a central force in the company’s shift towards electrification, software-defined vehicles, and new mobility models. Ms. Schroeder has previously served as CEO of Concordium, Wallenius Lines, and Star Air (Maersk), and spent more than 20 years in senior executive roles at A.P. Møller – Maersk. She is advisor for leading technology platform companies, including ServiceNow and works with AI, digital end-to-end platforms, and data-driven transformation. Ms. Schroeder is Danish and lives in Switzerland and holds master’s degrees in business &amp; economics from Copenhagen Business School and the in law from University of Copenhagen, and studied Web3 Technologies at MIT Sloan School of Management.</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Jim Zhang (Zhang Xingsheng) </w:t>
      </w:r>
      <w:r>
        <w:rPr>
          <w:rFonts w:ascii="Times New Roman" w:cs="Times New Roman" w:eastAsia="Times New Roman" w:hAnsi="Times New Roman"/>
          <w:sz w:val="18"/>
          <w:szCs w:val="18"/>
          <w:color w:val="auto"/>
        </w:rPr>
        <w:t>has served as a director since March 2021. Mr. Zhang is the founding partner of Daotong Investment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established in December 2013. Mr. Zhang served as an independent director at Volvo Car AB (SSE: VOLCAR-B) from August 2018 to May 2022 and as a director at The Nature Conservancy’s North Asia Region from 2008 to 2013. Mr. Zhang also served as Chairman at Beijing Link Capital Investment Co., Ltd. from 2005 to 2008. Prior to that, Mr. Zhang held various leadership position at Asiainfo Holdings, Inc., a company previously listed on Nasdaq, from 2003 to 2005, including as its director, president, and Chief Executive Officer. Mr. Zhang served as Executive Vice President and Chief Marketing Officer at Ericsson (China) Co., Ltd. from 1990 to 2003. Mr. Zhang served as deputy manager at China Telecom Construction Corporation from 1986 to 1990 and worked as an engineer at Beijing Long Distance Telecom Office from 1977 to 1986. Mr. Zhang received his MBA from BI-Fudan MBA program offered in partnership by BI Norwegian Business School and School of Management Fudan University in 1999 and a bachelor’s degree in 1981 from Beijing University of Post and Telecommunications.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Grace Hui Tang </w:t>
      </w:r>
      <w:r>
        <w:rPr>
          <w:rFonts w:ascii="Times New Roman" w:cs="Times New Roman" w:eastAsia="Times New Roman" w:hAnsi="Times New Roman"/>
          <w:sz w:val="18"/>
          <w:szCs w:val="18"/>
          <w:color w:val="auto"/>
        </w:rPr>
        <w:t>has served as a director since March 2021. Ms. Tang was an audit partner at PricewaterhouseCoopers from 2001 to 2020,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retired. Ms. Tang has served as a director at Textainer Group Holdings Limited (NYSE: TGH) since July 2020 and as a director at Elkem ASA (ELK: Oslo) since April 2021. Ms. Tang also serves as a director at Brii Biosciences Ltd (HKG: 2137) since July 2021 and as of July 2022, she has been appointed as a director, of NetEase Inc. (NASDAQ: NTES). Ms. Tang is a member of the AICPA and HKICPA. Ms. Tang has also dedicated herself to social, welfare and educational affairs, she serves as an advisor to the Beijing Capital Market and Securities Legal Affairs Committee since 2006 and as a supervising board member of Beijing New Sunshine Leukemia Charity Foundation since 2011, a public fund that had been awarded the highest grade qualification by the Civil Affairs Bureau of Beijing and she is also the treasurer for the Silvermine Arts Foundation in the USA. Ms. Tang is an adjunct professor at the Guanghua School of Management of Peking University. Ms. Tang received a bachelor’s degree in accounting from the University of Utah in June 1982 and an MBA from Utah State University in June 1984.</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Jun Hong Heng </w:t>
      </w:r>
      <w:r>
        <w:rPr>
          <w:rFonts w:ascii="Times New Roman" w:cs="Times New Roman" w:eastAsia="Times New Roman" w:hAnsi="Times New Roman"/>
          <w:sz w:val="18"/>
          <w:szCs w:val="18"/>
          <w:color w:val="auto"/>
        </w:rPr>
        <w:t>has served as a director since December 2022. Mr. Heng is the Founder of Crescent Cove Advisors, LP and has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Officer of Crescent Cove since August 2018. Mr. Heng is also the Founder of Crescent Cove Capital Management LLC and has served as its Chief Investment Officer since February 2016. Mr. Heng has also served as a member of the board of directors of Luminar Technologies, Inc. since June 2021. Prior to Crescent Cove Capital Management LLC, Mr. Heng served as Principal of Myriad Asset Management, an investment firm, from August 2011 to January 2015, where he focused on Asian credit and equity, including special situations. From September 2008 to July 2011, he served as Vice President of Argyle Street Management, a spin-off from Goldman Sachs Asian Special Situations Group. Previously, Mr. Heng served as an analyst at Morgan Stanley, where he focused on Asia, and as an analyst at Bear, Stearns &amp; Co., where he served in a multi-disciplinary role across technology, media and telecommunications, mergers and acquisitions, and equity and debt capital markets. Mr. Heng holds a B.B.A. in Finance and Accounting from the Stephen M. Ross School of Business at the University of Michigan.</w:t>
      </w:r>
    </w:p>
    <w:p>
      <w:pPr>
        <w:spacing w:after="0" w:line="18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Peter Cirino </w:t>
      </w:r>
      <w:r>
        <w:rPr>
          <w:rFonts w:ascii="Times New Roman" w:cs="Times New Roman" w:eastAsia="Times New Roman" w:hAnsi="Times New Roman"/>
          <w:sz w:val="18"/>
          <w:szCs w:val="18"/>
          <w:color w:val="auto"/>
        </w:rPr>
        <w:t>has served as our Chief Operating Officer since September 2022. Mr. Cirino has more than 25 years’ experience in 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electronics having led organizations across the Americas, Europe, and Asia. Most recently, Mr. Cirino led Aptiv’s connections systems business in the Americas. Prior to Aptiv, he led A123 Systems, an emerging lithium-ion battery business operating across China, Europe and North America. Mr. Cirino has a BS Mechanical Engineering from Cornell University and MBA from Duke University, both in the US.</w:t>
      </w:r>
    </w:p>
    <w:p>
      <w:pPr>
        <w:spacing w:after="0" w:line="19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Dylan Da-Long Jeng </w:t>
      </w:r>
      <w:r>
        <w:rPr>
          <w:rFonts w:ascii="Times New Roman" w:cs="Times New Roman" w:eastAsia="Times New Roman" w:hAnsi="Times New Roman"/>
          <w:sz w:val="18"/>
          <w:szCs w:val="18"/>
          <w:color w:val="auto"/>
        </w:rPr>
        <w:t>has served as our Chief Financial Officer since March 23, 2026. Mr. Jeng has over 25 years of experience in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capital markets across the United States and Asia-Pacific. Prior to joining us, Mr. Jeng served as special assistant to the chairman at Hon Hai Precision Industry Co., Ltd. (TWSE: 2317), where he was responsible for corporate finance strategy, internal control governance, investor relations and post-investment management across the group’s AI, Robotics, and EV verticals. Mr. Jeng served as chief financial officer of Guangzhou XAG Co., Ltd., where he led overall financial-related corporate governance, strategy development and execution. Mr. Jeng held senior finance and corporate roles at several multinational companies, including serving as head of corporate restructuring at NovaBridge Biosciences (NASDAQ: NBP), formerly I-Mab, where he played a key role in its NASDAQ listing, and as vice president at SciClone Pharmaceuticals, Inc. (NASDAQ: SCLN), where he was responsible for the tax accounting and the related internal control risk management. Mr. Jeng began his career with leading professional services firms, including KPMG and PricewaterhouseCoopers. Mr. Jeng received his master’s degree in accounting (taxation) and his bachelor’s degree in accounting from Long Island University. He is a certified public accountant.</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43"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 2025, we paid an aggregate of US $2.9 million in cash and benefits to our executive officers as a group and we paid US $0.4 million compensation to our non-executive directors. We have not set aside or accrued any amount to provide pension, retirement or other similar benefits to our executive officers. Our mainland China subsidiaries are required by law to make contributions equal to certain percentages of each employee’s salary for his or her pension insurance, medical insurance, unemployment insurance, work-related injury insurance and maternity insurance and other statutory benefits, and a housing provident fund.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Each of the executive officers is party to an employment agreement with us. Under these agreements, the employment of each of executive officers is for a specified time period, and may be terminated for cause, at any time and without advance notice or compensation, for certain acts of the executive officer, such as conviction or plea of guilty to a</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felony or any crime involving moral turpitude, negligent or dishonest acts to our detriment, or misconduct or a failure to perform agreed duties. In such case of termination, we will provide severance payments to the executive officer as expressly required by applicable law of the jurisdiction where the executive officer is based. The employment may also be terminated without cause upon three-month advance written notice. The executive officer may resign at any time with three-month advance written notice.</w:t>
      </w:r>
    </w:p>
    <w:p>
      <w:pPr>
        <w:spacing w:after="0" w:line="180"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Each of our executive officers has agreed to hold, both during and after the termination or expiry of his or her employment agreement, a strict confidence not to use, except as required in the performance of his or her duties in connection with the employment or pursuant to applicable law, any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(a) approach any suppliers, clients, customers, or contacts of us or other persons or entities introduced to the executive officer in his or her capacity as a representative of us for the purpose of doing business with such persons or entities that will harm the business relationships between us and these persons or entities, (b) assume employment with or provide services to any of the competitors of us, or engage, whether as principal, partner, licensor, or otherwise, any of such competitors, without the express consent of us; or (c) seek directly or indirectly, to solicit the services of any employees of us on or after the date of the executive officer’s termination, or in the year preceding such termination, without the express consent of us.</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have agreed to indemnify our directors and executive officers against certain liabilities and expenses incurred by such persons in connection with claims made by reason of their being our director or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2019 Share Incentive Plan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December 2019, our board of directors approved and adopted a share incentive plan which was subsequently restated and amended in December 2021 (the plan as restated and amended is referred to as the “2019 Share Incentive Plan”). The principal purpose of the 2019 Share Incentive Plan is to attract, retain and motivate selected members of the senior management, consultants, and our employees and our consolidated affiliates through the granting of share-based compensation awards.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2026, (i) the maximum aggregate number of Ordinary Shares which may be issued pursuant to all awards under the 2019 Share Incentive Plan is 27,438,015 and (ii) 27,438,015 restricted shares have been issued and outstanding, excluding awards that were forfeited or cancelled after the grant dates.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2019 Share Incentive Plan.</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2019 Share Incentive Plan permits the awards of restricted shares.</w:t>
      </w:r>
    </w:p>
    <w:p>
      <w:pPr>
        <w:spacing w:after="0" w:line="252"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Mr. Ziyu Shen, or any committee or person authorized by Mr. Shen, administers the 2019 Share Incentive Plan.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20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2019 Share Incentive Plan are evidenced by an award agreement that sets forth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terms of the award, the provisions applicable in the event that the grantee’s employment or service terminates, and the authority of us to unilaterally or bilaterally amend, modify, suspend, cancel or rescind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members of senior management, consultants, and employees of our company.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for Awards</w:t>
      </w:r>
      <w:r>
        <w:rPr>
          <w:rFonts w:ascii="Times New Roman" w:cs="Times New Roman" w:eastAsia="Times New Roman" w:hAnsi="Times New Roman"/>
          <w:sz w:val="18"/>
          <w:szCs w:val="18"/>
          <w:color w:val="auto"/>
        </w:rPr>
        <w:t>. The plan administrator determines the purchase price, as applicable, for each award, which is stated in the award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 part of awards that are not fully paid will terminate after five years from the date of award, unless otherwise provided in the award agreement.</w:t>
      </w:r>
    </w:p>
    <w:p>
      <w:pPr>
        <w:spacing w:after="0" w:line="23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eligible participant other than in accordance with the terms of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Incentive Plan, or the award agreement or otherwise as determined by the plan administrator. Subject to the fulfillment of stipulated conditions, participants may request for the sale of ordinary shares of us underlying his/her awards in which case we will have the discretion to allow the transfer of either such ordinary shares, or the participant’s interests in such ordinary shares.</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Termination and amendment of the 2019 Share Incentive Plan</w:t>
      </w:r>
      <w:r>
        <w:rPr>
          <w:rFonts w:ascii="Times New Roman" w:cs="Times New Roman" w:eastAsia="Times New Roman" w:hAnsi="Times New Roman"/>
          <w:sz w:val="18"/>
          <w:szCs w:val="18"/>
          <w:color w:val="auto"/>
        </w:rPr>
        <w:t>. Unless terminated earlier, the 2019 Share Incentive Plan has a term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has the authority to terminate, amend, suspend or modify the 2019 Share Incentive Plan, provided that certain amendments to the plan require the approval of our shareholders. However, unless otherwise determined by the plan administrator in good faith, no such action may adversely affect in any material way any award previously granted pursuant to the 2019 Share Incentive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2021 Option Incentive Plan</w:t>
      </w:r>
    </w:p>
    <w:p>
      <w:pPr>
        <w:spacing w:after="0" w:line="108"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In July 2021, our board of directors approved and adopted the 2021 Option Incentive Plan, to attract and retain the best available personnel, provide additional incentives to employees, directors and consultants, and promote the success of our business. The maximum aggregate number of Ordinary Shares that may be issued under the 2021 Option Incentive Plan is 16,802,069. As of February 28, 2026, options with a total of 10,647,331 underlying Ordinary Shares have been granted under the 2021 Option Incentive Plan and outstanding, excluding awards that were forfeited or cancelled after the grant dates.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2021 Option Incentive Plan.</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2021 Option Incentive Plan permits the awards of options.</w:t>
      </w:r>
    </w:p>
    <w:p>
      <w:pPr>
        <w:spacing w:after="0" w:line="252"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administers the 2021 Option Incentive Plan. The plan administrator determines the participants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awards, the type and number of awards to be granted to each participant, and the terms and conditions of each grant.</w:t>
      </w:r>
    </w:p>
    <w:p>
      <w:pPr>
        <w:spacing w:after="0" w:line="18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2021 Option Incentive Plan are evidenced by an award agreement that sets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members of senior management and key employees of our company.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52"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Options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and exercisable will terminate if they are not exercised prior to the time as the plan administrator determines at the time of grant. However, the maximum exercisable term is ten years from the date of grant.</w:t>
      </w:r>
    </w:p>
    <w:p>
      <w:pPr>
        <w:spacing w:after="0" w:line="20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Option Incentive Plan or the award agreement or otherwise determined by the plan administrator.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Termination and Amendment of the Plan</w:t>
      </w:r>
      <w:r>
        <w:rPr>
          <w:rFonts w:ascii="Times New Roman" w:cs="Times New Roman" w:eastAsia="Times New Roman" w:hAnsi="Times New Roman"/>
          <w:sz w:val="18"/>
          <w:szCs w:val="18"/>
          <w:color w:val="auto"/>
        </w:rPr>
        <w:t>. Unless terminated earlier, the 2021 Option Incentive Plan has a term of ten years from the date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Our board of directors has the authority to terminate, amend, suspend or modify the 2021 Option Incentive Plan, provided that certain amendments to the plan require the approval of our shareholders. However, unless otherwise determined by the plan administrator in good faith, no such action may adversely affect in any material way any award previously granted pursuant to the 2021 Option Incentive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Share Incentive Plan</w:t>
      </w:r>
    </w:p>
    <w:p>
      <w:pPr>
        <w:spacing w:after="0" w:line="24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December 2022, our board of directors approved and adopted the 2022 Share Incentive Plan, to attract and retain the best available personnel, provide additional incentives to employees, directors and consultants, and promote the success of our business. The maximum aggregate number of ordinary shares that may be issued under the 2022 Share Incentive Plan is 18,903,472. As of February 28, 2026, 16,256,872 ordinary shares have been issued under the 2022 Share Incentive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2022 Share Incentive Plan.</w:t>
      </w:r>
    </w:p>
    <w:p>
      <w:pPr>
        <w:spacing w:after="0" w:line="250"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2022 Share Incentive Plan permits the awards of options, restricted shares, restricted share units or other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pursuant to the authorizations of the administrator under the 2022 Share Incentive Plan.</w:t>
      </w:r>
    </w:p>
    <w:p>
      <w:pPr>
        <w:ind w:right="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of one or more members of our board (or such other administrator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delegates all of its authority) administers the 2022 Share Incentive Plan. The administrator of 2022 Share Incentive Plan determines, among other things, the eligibility of individuals to receive awards, the type and number of awards to be granted to each eligible individual, and the terms and conditions of each award. We have established a committee for the administration of the 2022 Share Incentive Plan in March 2023, consisting of Mr. Ziyu Shen, Ms. Grace Hui Tang and Mr. Jim Zhang (Zhang Xingsheng).</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Each award granted under the 2022 Share Incentive Plan is evidenced by an award agreement.</w:t>
      </w:r>
    </w:p>
    <w:p>
      <w:pPr>
        <w:spacing w:after="0" w:line="252"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consultants and directors of our company. The general scope of eligible individuals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Committee.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administrator determines the vesting schedule, if any, which is specified in the award agreement.</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exercise price per share subject to an option shall be determined by the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may be a fixed price or a variable price related to the fair market value of the shares; provided, however, that no option may be granted to an individual subject to taxation in the United States at less than the fair market value on the date of grant, without compliance with Section 409A of the Code, or the holder’s consent.</w:t>
      </w:r>
    </w:p>
    <w:p>
      <w:pPr>
        <w:spacing w:after="0" w:line="20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holder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Share Incentive Plan, such as transfers to us or transfers upon the death of the holder, pursuant to such conditions and procedures as the administrator may establish.</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and Amendment of the 2022 Share Incentive Plan</w:t>
      </w:r>
      <w:r>
        <w:rPr>
          <w:rFonts w:ascii="Times New Roman" w:cs="Times New Roman" w:eastAsia="Times New Roman" w:hAnsi="Times New Roman"/>
          <w:sz w:val="18"/>
          <w:szCs w:val="18"/>
          <w:color w:val="auto"/>
        </w:rPr>
        <w:t>. Unless terminated earlier, the 2022 Share Incentive Plan has a term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has the authority to terminate, amend or modify the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Trust</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SHINE LINK VENTURE LIMITED is a limited liability company incorporated in British Virgin Islands and wholly owned by J&amp;H Trust, a trust established under a trust deed dated November 26, 2019 between Mr. Ziyu Shen and Trident Trust company (HK) Limited as trustee. Through J&amp;H Trust, interests in the Ordinary Shares and other rights and interests under awards granted pursuant to the 2019 Share Incentive Plan are provided to certain grant recipients who are assigned beneficial interests in the J&amp;H Trust corresponding to the number of Ordinary Shares granted to such participant under the 2019 Share Incentive Plan. Specifically, upon the payment of purchase price and the satisfaction of vesting and other conditions, eligible participants are assigned beneficial interests in the J&amp;H Trust corresponding to the number of Ordinary Shares granted to such participant under the 2019 Share Incentive Plan. In addition, SHINE LINK VENTURE</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LIMITED holds Ordinary Shares representing incentive awards granted to certain of our founding members in 2017 which are also administered through SHINE LINK VENTURE LIMITED and J&amp;H Trust.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Granted</w:t>
      </w:r>
    </w:p>
    <w:p>
      <w:pPr>
        <w:spacing w:after="0" w:line="24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28, 2026, the number of restricted share units we have granted to certain of our directors and officers, excluding awards that were forfeited or cancelled after the relevant grant dates.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 Underlying Restricted</w:t>
            </w:r>
          </w:p>
        </w:tc>
        <w:tc>
          <w:tcPr>
            <w:tcW w:w="22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Date of Grant</w:t>
            </w:r>
          </w:p>
        </w:tc>
        <w:tc>
          <w:tcPr>
            <w:tcW w:w="0" w:type="dxa"/>
            <w:vAlign w:val="bottom"/>
          </w:tcPr>
          <w:p>
            <w:pPr>
              <w:spacing w:after="0"/>
              <w:rPr>
                <w:sz w:val="1"/>
                <w:szCs w:val="1"/>
                <w:color w:val="auto"/>
              </w:rPr>
            </w:pPr>
          </w:p>
        </w:tc>
      </w:tr>
      <w:tr>
        <w:trPr>
          <w:trHeight w:val="130"/>
        </w:trPr>
        <w:tc>
          <w:tcPr>
            <w:tcW w:w="1740" w:type="dxa"/>
            <w:vAlign w:val="bottom"/>
            <w:vMerge w:val="continue"/>
          </w:tcPr>
          <w:p>
            <w:pPr>
              <w:spacing w:after="0"/>
              <w:rPr>
                <w:sz w:val="11"/>
                <w:szCs w:val="11"/>
                <w:color w:val="auto"/>
              </w:rPr>
            </w:pPr>
          </w:p>
        </w:tc>
        <w:tc>
          <w:tcPr>
            <w:tcW w:w="39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Share Units</w:t>
            </w: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 Hong Heng</w:t>
            </w:r>
          </w:p>
        </w:tc>
        <w:tc>
          <w:tcPr>
            <w:tcW w:w="3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40,944</w:t>
            </w:r>
          </w:p>
        </w:tc>
        <w:tc>
          <w:tcPr>
            <w:tcW w:w="222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89,037</w:t>
            </w:r>
          </w:p>
        </w:tc>
        <w:tc>
          <w:tcPr>
            <w:tcW w:w="2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76,923</w:t>
            </w:r>
          </w:p>
        </w:tc>
        <w:tc>
          <w:tcPr>
            <w:tcW w:w="222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Cirino</w:t>
            </w:r>
          </w:p>
        </w:tc>
        <w:tc>
          <w:tcPr>
            <w:tcW w:w="3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735,793</w:t>
            </w:r>
          </w:p>
        </w:tc>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June 1, 2024</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shd w:val="clear" w:color="auto" w:fill="CCEEFF"/>
          </w:tcPr>
          <w:p>
            <w:pPr>
              <w:spacing w:after="0"/>
              <w:rPr>
                <w:sz w:val="21"/>
                <w:szCs w:val="21"/>
                <w:color w:val="auto"/>
              </w:rPr>
            </w:pPr>
          </w:p>
        </w:tc>
        <w:tc>
          <w:tcPr>
            <w:tcW w:w="3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247,500</w:t>
            </w:r>
          </w:p>
        </w:tc>
        <w:tc>
          <w:tcPr>
            <w:tcW w:w="22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7"/>
        </w:trPr>
        <w:tc>
          <w:tcPr>
            <w:tcW w:w="17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February 28, 2026, the number of options we have granted to certain of our directors and officers, excluding awards that were forfeited or cancelled after the relevant grant dates.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Class A Ordinary</w:t>
            </w:r>
          </w:p>
        </w:tc>
        <w:tc>
          <w:tcPr>
            <w:tcW w:w="17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2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Expiration</w:t>
            </w:r>
          </w:p>
        </w:tc>
        <w:tc>
          <w:tcPr>
            <w:tcW w:w="0" w:type="dxa"/>
            <w:vAlign w:val="bottom"/>
          </w:tcPr>
          <w:p>
            <w:pPr>
              <w:spacing w:after="0"/>
              <w:rPr>
                <w:sz w:val="1"/>
                <w:szCs w:val="1"/>
                <w:color w:val="auto"/>
              </w:rPr>
            </w:pPr>
          </w:p>
        </w:tc>
      </w:tr>
      <w:tr>
        <w:trPr>
          <w:trHeight w:val="130"/>
        </w:trPr>
        <w:tc>
          <w:tcPr>
            <w:tcW w:w="1540" w:type="dxa"/>
            <w:vAlign w:val="bottom"/>
            <w:vMerge w:val="continue"/>
          </w:tcPr>
          <w:p>
            <w:pPr>
              <w:spacing w:after="0"/>
              <w:rPr>
                <w:sz w:val="11"/>
                <w:szCs w:val="11"/>
                <w:color w:val="auto"/>
              </w:rPr>
            </w:pPr>
          </w:p>
        </w:tc>
        <w:tc>
          <w:tcPr>
            <w:tcW w:w="26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 Underlying Options</w:t>
            </w:r>
          </w:p>
        </w:tc>
        <w:tc>
          <w:tcPr>
            <w:tcW w:w="17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(US$/Share)</w:t>
            </w:r>
          </w:p>
        </w:tc>
        <w:tc>
          <w:tcPr>
            <w:tcW w:w="224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Grace Hui Tang</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46,952</w:t>
            </w:r>
          </w:p>
        </w:tc>
        <w:tc>
          <w:tcPr>
            <w:tcW w:w="170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2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December 31, 2033</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123,362</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2034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101,266</w:t>
            </w:r>
          </w:p>
        </w:tc>
        <w:tc>
          <w:tcPr>
            <w:tcW w:w="170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December 31, 2035</w:t>
            </w:r>
          </w:p>
        </w:tc>
        <w:tc>
          <w:tcPr>
            <w:tcW w:w="0" w:type="dxa"/>
            <w:vAlign w:val="bottom"/>
          </w:tcPr>
          <w:p>
            <w:pPr>
              <w:spacing w:after="0"/>
              <w:rPr>
                <w:sz w:val="1"/>
                <w:szCs w:val="1"/>
                <w:color w:val="auto"/>
              </w:rPr>
            </w:pPr>
          </w:p>
        </w:tc>
      </w:tr>
      <w:tr>
        <w:trPr>
          <w:trHeight w:val="225"/>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Zhang (Zhang</w:t>
            </w:r>
          </w:p>
        </w:tc>
        <w:tc>
          <w:tcPr>
            <w:tcW w:w="2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Xingsheng)</w:t>
            </w: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46,952</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2033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123,362</w:t>
            </w:r>
          </w:p>
        </w:tc>
        <w:tc>
          <w:tcPr>
            <w:tcW w:w="170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December 31, 2034</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101,266</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0.5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2035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9680" w:firstLine="8"/>
        <w:spacing w:after="0" w:line="503" w:lineRule="auto"/>
        <w:tabs>
          <w:tab w:leader="none" w:pos="32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six directors as of the date of this annual report. The seventh amended and restated memorandum and articles of association of ECARX Holdings provide that the minimum number of directors shall be three and the exact number of directors shall be determined from time to time by our board of directors.</w:t>
      </w:r>
    </w:p>
    <w:p>
      <w:pPr>
        <w:spacing w:after="0" w:line="189"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A director is not required to hold any shares in us by way of qualification. A director who is in any way, whether directly or indirectly, interested in a contract or transaction or proposed contract or transaction with us is required to declare the nature of his or her interest at a board meeting. Subject to Nasdaq listing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directors at which any such contract or transaction or proposed contract or transaction shall come before the meeting for consideration.</w:t>
      </w:r>
    </w:p>
    <w:p>
      <w:pPr>
        <w:spacing w:after="0" w:line="19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directors may exercise all the powers of the company to raise or borrow money and to mortgage, or charge its undertaking, property, and assets (present or future), uncalled capital or any part thereof, and to issue debentures, debenture stock, bonds, or other securities, whether outright or as collateral security for any debt, liability, or obligation of our company or of any third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non-employee director has a service contract with us that provides for benefits upon termination of service.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and have adopted a charter for each of the three committees. Our board of director has also established a cybersecurity committee. Each committee’s members and functions are described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Mr. Jun Hong Heng, Ms. Grace Hui Tang and Mr. Jim Zhang (Zhang Xingsheng). Ms. Grace Hui Tang is the chairperson of the audit committee. Ms. Grace Hui Tang satisfies the criteria of an audit committee financial expert as set forth under the applicable rules of the SEC. Each of Mr. Jun Hong Heng, Ms. Grace Hui Tang and Mr. Jim Zhang (Zhang Xingsheng) satisfies the requirements for an “independent director” within the meaning of the Nasdaq listing rules and the criteria for independence set forth in Rule 10A-3 of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The audit committee is responsible for, among other things:</w:t>
      </w:r>
    </w:p>
    <w:p>
      <w:pPr>
        <w:spacing w:after="0" w:line="117" w:lineRule="exact"/>
        <w:rPr>
          <w:sz w:val="20"/>
          <w:szCs w:val="20"/>
          <w:color w:val="auto"/>
        </w:rPr>
      </w:pPr>
    </w:p>
    <w:p>
      <w:pPr>
        <w:ind w:left="980" w:right="2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17"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 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Mr. Jun Hong Heng, Mr. Jim Zhang (Zhang Xingsheng) and Ms. Grace Hui Tang. Mr. Jim Zhang (Zhang Xingsheng) is the chairperson of the compensation committee. Each of Mr. Jun Hong Heng, Mr. Jim Zhang (Zhang Xingsheng) and Ms. Grace Hui Tang satisfies the requirements for an “independent director” within the meaning of the Nasdaq listing rules.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68" w:lineRule="exact"/>
        <w:rPr>
          <w:sz w:val="20"/>
          <w:szCs w:val="20"/>
          <w:color w:val="auto"/>
        </w:rPr>
      </w:pPr>
    </w:p>
    <w:p>
      <w:pPr>
        <w:ind w:left="980" w:right="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17"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similar arrangements; and selecting compensation consultant, legal counsel or other advisor only after taking into consideration all factors relevant to that person’s independence from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Jun Hong Heng, Mr. Jim Zhang (Zhang Xingsheng) and Ms. Grace Hui Tang. Mr. Jim Zhang (Zhang Xingsheng) is the chairperson of the nominating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corporate governance committee. Each of Mr. Jun Hong Heng, Mr. Jim Zhang (Zhang Xingsheng) and Ms. Grace Hui Tang satisfies the requirements for an “independent director” within the meaning of the Nasdaq listing rules.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assist the board of directors in selecting individuals qualified to become our directors and in determining the composition of the board and committees. The nominating and corporate governance committee is responsible for, among other things:</w:t>
      </w:r>
    </w:p>
    <w:p>
      <w:pPr>
        <w:spacing w:after="0" w:line="54"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53"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 advising the board periodically with regards to significant developments in the law and practice of corporate governance as well as compliance with applicable laws and regulations, and making recommendations to the board on all matters of corporate governance and on any remedial action to be taken.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Ziyu Shen is the sole member of the cybersecurity committee.</w:t>
      </w:r>
    </w:p>
    <w:p>
      <w:pPr>
        <w:spacing w:after="0" w:line="225"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cybersecurity committee assists our board of directors in ensuring that we will comply with all applicable laws and regulations on cybersecurity and national security. The cybersecurity committee is responsible for, among other things:</w:t>
      </w:r>
    </w:p>
    <w:p>
      <w:pPr>
        <w:spacing w:after="0" w:line="54" w:lineRule="exact"/>
        <w:rPr>
          <w:sz w:val="20"/>
          <w:szCs w:val="20"/>
          <w:color w:val="auto"/>
        </w:rPr>
      </w:pPr>
    </w:p>
    <w:p>
      <w:pPr>
        <w:ind w:left="980" w:right="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safeguards and security policies on the collection, storage, transfer and dissemination of personal data and other important data in compliance with all applicable laws and regulations on cybersecurity and national security;</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the privacy of personal data and security of other important data collected, and preventing such information from being divulged, damaged, or lost;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the risk of core data, important data or a large amount of personal information being stolen, leaked, destroyed, and illegally used or illegally transferred abroad;</w:t>
      </w:r>
    </w:p>
    <w:p>
      <w:pPr>
        <w:spacing w:after="0" w:line="53"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the risk of critical information infrastructure, core data, important data or a large amount of personal information being affected, controlled, or used with malicious intent by foreign governments, as well as the risk relating to information security;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disclosures, transfer and dissemination of personal data and important data;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conduct of security assessment of information to be provided overseas, prior to the cross-border transfer of any data;</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legality, appropriateness and necessity of the cross-border data transfer and the purpose, scope and method of the data processing activities of the overseas recipient;</w:t>
      </w:r>
    </w:p>
    <w:p>
      <w:pPr>
        <w:spacing w:after="0" w:line="53"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any cross-border transfer of data will not create any risk to national security, public interests, or the legitimate rights and interests of individuals or organizations that may arise from such transfer;</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any products and services that affect or may affect national securities must be compliant with national cybersecurity review;</w:t>
      </w:r>
    </w:p>
    <w:p>
      <w:pPr>
        <w:spacing w:after="0" w:line="11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of internet systems; and advising our board of director with regards to significant developments in the law and practice of cybersecurity, national security as well as compliance with applicable laws and regulations, and making recommendations to the board on all matters of cybersecurity and national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16"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Under Cayman Islands law, directors owe fiduciary duties to the company, including a duty of loyalty, a duty to act honestly, and a duty to act in what they consider in good faith to be in the company’s best interests. Directors must also exercise their powers only for a proper purpose. Directors also have a duty to act with skill and care. It was previously</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We have the right to seek damages if a duty owed by our directors is breached. A shareholder may in certain circumstances have rights to seek damages in the name of the company if a duty owed by our directors is breached.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seventh amended and restated memorandum and articles of association of ECARX Holdings provide that all directors may be appointed by ordinary resolution and removed by ordinary resolution. The seventh amended and restated memorandum and articles of association of ECARX Holdings also provide that the directors may, by the affirmative vote of a simple majority of the remaining directors present and voting at a board meeting, appoint any person to be a director so as to fill a casual vacancy or as an addition to the existing board of director. A director may be appointed on terms that he or she shall automatically retire from office at the next or a subsequent annual general meeting or upon any specified event or after any specified period in a written agreement between our company and the director, if any; but no such term shall be implied in the absence of express provision. Our directors currently do not serve for a fixed term and there is no requirement for them to retire by rotation nor to make themselves eligible for re-election.</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office of a director shall be vacated if, amongst other things, such director (a) becomes bankrupt or makes any arrangement or composition with his or her creditors, (b) dies or is found to be or becomes of unsound mind, (c) resigns his or her office by notice in writing to us, (d) without special leave of absence from the board, is absent from meetings of the board for three consecutive meetings, and the board resolves that his or her office be vacated; or (e) is removed from office pursuant to any other provision of the seventh amended and restated memorandum and articles of association of ECARX 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16"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A director shall hold office until such time as he or she resigns his office by notice in writing to us, is removed from office by ordinary resolution or is otherwise disqualified from acting as a director or removed in accordance with the seventh amended and restated memorandum and articles of association of ECARX Holdings.</w:t>
      </w:r>
    </w:p>
    <w:p>
      <w:pPr>
        <w:spacing w:after="0" w:line="1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2025, we had 1,432 full-time employees globally, comprising 1,000 employees engaged in research and development and related technical and engineering functions, 154 employees engaged in quality and manufacturing operation, 246 employees engaged in general management and administration, and 32 employees engaged in marketing and sales. As of December 31, 2025, we had 20 employees in London, England, 1,322 employees in China, and 90 employees in other countries.</w:t>
      </w:r>
    </w:p>
    <w:p>
      <w:pPr>
        <w:spacing w:after="0" w:line="242"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Functions:</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and manufacturing operation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sales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06" w:lineRule="exact"/>
        <w:rPr>
          <w:sz w:val="20"/>
          <w:szCs w:val="20"/>
          <w:color w:val="auto"/>
        </w:rPr>
      </w:pPr>
    </w:p>
    <w:p>
      <w:pPr>
        <w:jc w:val="both"/>
        <w:ind w:right="480" w:firstLine="648"/>
        <w:spacing w:after="0" w:line="242"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as a result, have generally been able to attract and retain qualified personnel and maintain a stable core management team.</w:t>
      </w:r>
    </w:p>
    <w:p>
      <w:pPr>
        <w:spacing w:after="0" w:line="197" w:lineRule="exact"/>
        <w:rPr>
          <w:sz w:val="20"/>
          <w:szCs w:val="20"/>
          <w:color w:val="auto"/>
        </w:rPr>
      </w:pPr>
    </w:p>
    <w:p>
      <w:pPr>
        <w:jc w:val="both"/>
        <w:ind w:right="500" w:firstLine="648"/>
        <w:spacing w:after="0" w:line="282" w:lineRule="auto"/>
        <w:rPr>
          <w:sz w:val="20"/>
          <w:szCs w:val="20"/>
          <w:color w:val="auto"/>
        </w:rPr>
      </w:pPr>
      <w:r>
        <w:rPr>
          <w:rFonts w:ascii="Times New Roman" w:cs="Times New Roman" w:eastAsia="Times New Roman" w:hAnsi="Times New Roman"/>
          <w:sz w:val="18"/>
          <w:szCs w:val="18"/>
          <w:color w:val="auto"/>
        </w:rPr>
        <w:t>As required by regulations in China, we participate in various employee social security plans that are organized by municipal and provincial governments, including pension, unemployment insurance, maternity insurance, work-related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injury insurance, medical insurance and housing insurance. We are required under PRC law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to incentivize their contributions to our growth and development.</w:t>
      </w:r>
    </w:p>
    <w:p>
      <w:pPr>
        <w:spacing w:after="0" w:line="178"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 We are party to a collective labor agreement applicable to our employees in Sweden. None of our other employees are represented by a union or are subject to collective bargaining agreements. To date, we have not experienced any significant labor disputes.</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February 28, 2026:</w:t>
      </w:r>
    </w:p>
    <w:p>
      <w:pPr>
        <w:spacing w:after="0" w:line="6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beneficially owns 5.0% or more of the outstanding Ordinary Shares;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an executive officer or director;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Warrants or any option or other right or the conversion of any other security. However, these shares are not included in the computation of the percentage ownership of any other person.</w:t>
      </w:r>
    </w:p>
    <w:p>
      <w:pPr>
        <w:spacing w:after="0" w:line="19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calculations in the table below are based on 335,099,068 Class A Ordinary Shares and 45,960,916 Class B Ordinary Shares outstanding as of the date of this annual report. 23,871,971 Warrants, 2025 ATW Convertible Notes for an aggregate principal amount of US$50 million and convertible into Class A Ordinary Shares at an initial conversion price of US$2.59 per share (subject to customary adjustments on the conversion price), and 2025 Convertible Notes for an aggregate principal amount of US$100 million and convertible into Class A Ordinary Shares at a conversion price of US$2.62 per share (subject to customary adjustments on the conversion price) were also issued and outstanding as of the date of this annual report.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9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4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Voting</w:t>
            </w: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9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80" w:type="dxa"/>
            <w:vAlign w:val="bottom"/>
          </w:tcPr>
          <w:p>
            <w:pPr>
              <w:jc w:val="right"/>
              <w:ind w:right="394"/>
              <w:spacing w:after="0" w:line="116" w:lineRule="exact"/>
              <w:rPr>
                <w:sz w:val="20"/>
                <w:szCs w:val="20"/>
                <w:color w:val="auto"/>
              </w:rPr>
            </w:pPr>
            <w:r>
              <w:rPr>
                <w:rFonts w:ascii="Times New Roman" w:cs="Times New Roman" w:eastAsia="Times New Roman" w:hAnsi="Times New Roman"/>
                <w:sz w:val="11"/>
                <w:szCs w:val="11"/>
                <w:b w:val="1"/>
                <w:bCs w:val="1"/>
                <w:color w:val="auto"/>
              </w:rPr>
              <w:t>Power</w:t>
            </w:r>
            <w:r>
              <w:rPr>
                <w:rFonts w:ascii="Times New Roman" w:cs="Times New Roman" w:eastAsia="Times New Roman" w:hAnsi="Times New Roman"/>
                <w:sz w:val="13"/>
                <w:szCs w:val="13"/>
                <w:b w:val="1"/>
                <w:bCs w:val="1"/>
                <w:color w:val="auto"/>
                <w:vertAlign w:val="superscript"/>
              </w:rPr>
              <w:t>(2)</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500" w:type="dxa"/>
            <w:vAlign w:val="bottom"/>
            <w:tcBorders>
              <w:top w:val="single" w:sz="8" w:color="CCEEFF"/>
            </w:tcBorders>
            <w:shd w:val="clear" w:color="auto" w:fill="CCEEFF"/>
          </w:tcPr>
          <w:p>
            <w:pPr>
              <w:ind w:left="20"/>
              <w:spacing w:after="0" w:line="253"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3"/>
                <w:szCs w:val="23"/>
                <w:b w:val="1"/>
                <w:bCs w:val="1"/>
                <w:color w:val="auto"/>
                <w:vertAlign w:val="superscript"/>
              </w:rPr>
              <w:t>(1)</w:t>
            </w: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Ziyu Shen</w:t>
            </w:r>
            <w:r>
              <w:rPr>
                <w:rFonts w:ascii="Times New Roman" w:cs="Times New Roman" w:eastAsia="Times New Roman" w:hAnsi="Times New Roman"/>
                <w:sz w:val="23"/>
                <w:szCs w:val="23"/>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21,480,458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24,480,458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Zenggang Liu</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Lone Fønss Schrøder</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Jim Zhang (Zhang Xingsheng)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Grace Hui Tang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271,580</w:t>
            </w:r>
          </w:p>
        </w:tc>
        <w:tc>
          <w:tcPr>
            <w:tcW w:w="10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 Hong Heng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Cirino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983,293</w:t>
            </w:r>
          </w:p>
        </w:tc>
        <w:tc>
          <w:tcPr>
            <w:tcW w:w="10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Dylan D. Jeng</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14,708,973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21,480,458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36,189,431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Fu&amp;Li Industrious Innovators Limited</w:t>
            </w:r>
            <w:r>
              <w:rPr>
                <w:rFonts w:ascii="Times New Roman" w:cs="Times New Roman" w:eastAsia="Times New Roman" w:hAnsi="Times New Roman"/>
                <w:sz w:val="23"/>
                <w:szCs w:val="23"/>
                <w:color w:val="auto"/>
                <w:vertAlign w:val="superscript"/>
              </w:rPr>
              <w:t>(4)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144,440,574</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24,480,458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168,921,032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Jie&amp;Hao Holding Limited</w:t>
            </w:r>
            <w:r>
              <w:rPr>
                <w:rFonts w:ascii="Times New Roman" w:cs="Times New Roman" w:eastAsia="Times New Roman" w:hAnsi="Times New Roman"/>
                <w:sz w:val="23"/>
                <w:szCs w:val="23"/>
                <w:color w:val="auto"/>
                <w:vertAlign w:val="superscript"/>
              </w:rPr>
              <w:t>(3)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21,480,458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24,480,458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3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Baidu (Hong Kong) Limited</w:t>
            </w:r>
            <w:r>
              <w:rPr>
                <w:rFonts w:ascii="Times New Roman" w:cs="Times New Roman" w:eastAsia="Times New Roman" w:hAnsi="Times New Roman"/>
                <w:sz w:val="23"/>
                <w:szCs w:val="23"/>
                <w:color w:val="auto"/>
                <w:vertAlign w:val="superscript"/>
              </w:rPr>
              <w:t>(5)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22,367,946</w:t>
            </w:r>
          </w:p>
        </w:tc>
        <w:tc>
          <w:tcPr>
            <w:tcW w:w="10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22,367,946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863"/>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1" w:lineRule="exact"/>
        <w:rPr>
          <w:sz w:val="20"/>
          <w:szCs w:val="20"/>
          <w:color w:val="auto"/>
        </w:rPr>
      </w:pPr>
    </w:p>
    <w:p>
      <w:pPr>
        <w:ind w:left="340" w:right="400" w:hanging="332"/>
        <w:spacing w:after="0" w:line="302"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business address for our directors and executive officers is Second Floor North, International House, 1 St. Katharine's Way, London E1W 1UN, United Kingdom.</w:t>
      </w:r>
    </w:p>
    <w:p>
      <w:pPr>
        <w:spacing w:after="0" w:line="161" w:lineRule="exact"/>
        <w:rPr>
          <w:rFonts w:ascii="Times New Roman" w:cs="Times New Roman" w:eastAsia="Times New Roman" w:hAnsi="Times New Roman"/>
          <w:sz w:val="14"/>
          <w:szCs w:val="14"/>
          <w:color w:val="auto"/>
        </w:rPr>
      </w:pPr>
    </w:p>
    <w:p>
      <w:pPr>
        <w:ind w:left="340" w:right="260" w:hanging="332"/>
        <w:spacing w:after="0" w:line="268"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Class A Ordinary Shares and Class B Ordinary Shares held by such person or group with respect to all outstanding Ordinary Shares as a single class. Each holder of Class A Ordinary Shares is entitled to one vote per share. Each holder of Class B Ordinary Shares is entitled to 10 votes per share. Class B Ordinary Shares are convertible at any time by the holder into Class A Ordinary Shares on a one-for-one basis, while Class A Ordinary Shares are not convertible into Class B Ordinary Shares under any circumstances.</w:t>
      </w:r>
    </w:p>
    <w:p>
      <w:pPr>
        <w:spacing w:after="0" w:line="185" w:lineRule="exact"/>
        <w:rPr>
          <w:rFonts w:ascii="Times New Roman" w:cs="Times New Roman" w:eastAsia="Times New Roman" w:hAnsi="Times New Roman"/>
          <w:sz w:val="14"/>
          <w:szCs w:val="14"/>
          <w:color w:val="auto"/>
        </w:rPr>
      </w:pPr>
    </w:p>
    <w:p>
      <w:pPr>
        <w:ind w:left="340" w:right="20" w:hanging="332"/>
        <w:spacing w:after="0" w:line="266"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21,480,458 Class B Ordinary Shares and 3,000,000 Class A Ordinary Shares held by Jie&amp;Hao Holding Limited, a limited liability company incorporated in British Virgin Islands. Mr. Ziyu Shen holds 100% of the issued and outstanding shares of Little SJH Holding Limited and Little SJH Holding Limited holds 1% of shares in Jie&amp;Hao Holding Limited and its shares are voting shares. Magician Hao Holding Limited, which is owned by a trust established for the benefit of Mr. Ziyu Shen and his family, holds 99% of shares in Jie&amp;Hao Holding Limited and its shares are non-voting shares. Mr. Ziyu Shen is solely entitled to exercise the voting and dispositive power in respect of all ordinary shares held by Jie&amp;Hao Holding Limited. The address of Jie&amp;Hao Holding Limited, Little SJH Holding Limited and Magician Hao Holding Limited is Craigmuir Chambers, Road Town, Tortola, VG 1110, British Virgin Islands.</w:t>
      </w:r>
    </w:p>
    <w:p>
      <w:pPr>
        <w:spacing w:after="0" w:line="187" w:lineRule="exact"/>
        <w:rPr>
          <w:rFonts w:ascii="Times New Roman" w:cs="Times New Roman" w:eastAsia="Times New Roman" w:hAnsi="Times New Roman"/>
          <w:sz w:val="14"/>
          <w:szCs w:val="14"/>
          <w:color w:val="auto"/>
        </w:rPr>
      </w:pPr>
    </w:p>
    <w:p>
      <w:pPr>
        <w:ind w:left="340" w:hanging="332"/>
        <w:spacing w:after="0" w:line="265"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144,440,574 Class A Ordinary Shares and 24,480,458 Class B Ordinary Shares held by Fu&amp;Li Industrious Innovators Limited, a limited liability company incorporated in British Virgin Islands. Mr. Eric Li (Li Shufu) holds 100% of the issued and outstanding shares of Minghao Group Limited and Minghao Group Limited holds 1% of shares in Fu&amp;Li Industrious Innovators Limited and its shares are voting shares. Industrious Innovators Limited, which is owned by a trust established for the benefit of Mr. Eric Li (Li Shufu) and his family, holds 99% of shares in Fu&amp;Li Industrious Innovators Limited and its shares are non-voting shares. Mr. Eric Li (Li Shufu) is solely entitled to exercise the voting and dispositive power in respect of all ordinary shares held by Fu&amp;Li Industrious Innovators Limited. The address of Fu&amp;Li Industrious Innovators Limited, Minghao Group Limited and Industrious Innovators is Craigmuir Chambers, Road Town, Tortola, VG 1110, British Virgin Islands.</w:t>
      </w:r>
    </w:p>
    <w:p>
      <w:pPr>
        <w:spacing w:after="0" w:line="188" w:lineRule="exact"/>
        <w:rPr>
          <w:rFonts w:ascii="Times New Roman" w:cs="Times New Roman" w:eastAsia="Times New Roman" w:hAnsi="Times New Roman"/>
          <w:sz w:val="14"/>
          <w:szCs w:val="14"/>
          <w:color w:val="auto"/>
        </w:rPr>
      </w:pPr>
    </w:p>
    <w:p>
      <w:pPr>
        <w:ind w:left="340" w:hanging="332"/>
        <w:spacing w:after="0" w:line="268"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22,367,946 Class A Ordinary Shares held by Baidu (Hong Kong) Limited, a limited liability company incorporated in Hong Kong and wholly owned by Baidu Holdings Limited. Baidu Holdings Limited is a limited liability company incorporated in British Virgin Islands and wholly owned by Baidu, Inc., a Nasdaq and Hong Kong Stock Exchange listed company. The address of Baidu (Hong Kong) Limited is Room 2609, China Resources Building 26 Harbour Road, Wanchai, Hong Kong. The address of Baidu Holdings Limited and Baidu, Inc. is Baidu Campus, No. 10 Shangdi 10th Street, Haidian District, Beijing 100085, People’s Republic of China.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ECARX Holdings is incorporated under the laws of the Cayman Islands. Service of process upon ECARX Holdings and upon its directors and officers named in this annual report, may be difficult to obtain within the United States. Furthermore, because substantially all of our assets are located outside the United States, any judgment obtained in the United States against us may not be collectible within the United States.</w:t>
      </w:r>
    </w:p>
    <w:p>
      <w:pPr>
        <w:spacing w:after="0" w:line="17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there is uncertainty as to whether the courts of the Cayman Islands would (i) recognize or enforce judgments of U.S. courts predicated upon the civil liability provisions of the federal securities laws of the United States or the securities laws of any state in the United States, or (ii) entertain original actions brought in the Cayman Islands that are predicated upon the federal securities laws of the United States or the securities laws of any state in the United States.</w:t>
      </w:r>
    </w:p>
    <w:p>
      <w:pPr>
        <w:spacing w:after="0" w:line="18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We have also been advised by our Cayman Islands legal counsel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must be final and conclusive and for a liquidated sum, and must not be in respect of taxes or a fine or penalty,</w:t>
      </w:r>
    </w:p>
    <w:p>
      <w:pPr>
        <w:spacing w:after="0" w:line="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been advised by our legal counsel as to the law of mainland China that there is uncertainty as to whether courts in mainland China would (i) recognize or enforce judgments of U.S. courts predicated upon the civil liability provisions of the securities laws of the United States or any state in the United States, or (ii) entertain original actions brought in mainland China predicated upon the securities laws of the United States or any state in the United States.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have also been advised by our legal counsel as to the law of mainland China that the recognition and enforcement of foreign judgments are provided for under the PRC Civil Procedures Law. Courts in mainland China may recognize and enforce foreign judgments in accordance with the requirements, public policy considerations and conditions set forth in applicable provisions of laws in mainland China relating to the enforcement of civil liability, including the PRC Civil Procedures Law, based either on treaties between mainland China and the country where the judgment is made or on principles of reciprocity between jurisdictions. There exists no treaty or other forms of reciprocity between mainland China and the United States or the Cayman Islands governing the recognition and enforcement of foreign judgments as of the date of this annual report.</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Furthermore, according to the PRC Civil Procedures Law, courts in mainland China will not enforce a foreign judgment if they decide that the judgment violates the basic principles of the law in mainland China or national sovereignty, security or public interest. As a result, it is uncertain whether and on what basis a court in mainland China would enforce a judgment rendered by a U.S. court or the Cayman Islands.</w:t>
      </w:r>
    </w:p>
    <w:p>
      <w:pPr>
        <w:spacing w:after="0" w:line="172" w:lineRule="exact"/>
        <w:rPr>
          <w:sz w:val="20"/>
          <w:szCs w:val="20"/>
          <w:color w:val="auto"/>
        </w:rPr>
      </w:pPr>
    </w:p>
    <w:p>
      <w:pPr>
        <w:ind w:left="660" w:right="4520" w:hanging="652"/>
        <w:spacing w:after="0" w:line="500" w:lineRule="auto"/>
        <w:tabs>
          <w:tab w:leader="none" w:pos="31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Geely Holding’s Subsidiaries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developed various products and services and supplied them to Geely Holding’s subsidiaries. A product development agreement has typically been entered into between us (through a subsidiary or, prior to the Restructuring, Hubei ECARX) and a Geely Holding subsidiary regarding the customization and development of automotive products for specific Geely Holding’s vehicle models. The product development agreement has either taken the form of a new product development agreement or a development agreement depending on the requirement of the relevant Geely Holding subsidiary. A new product development agreement or a development agreement sets forth the fees payable to us and is accompanied by technical and quality specifications or engineering statement of work applicable to the products. The purchase price of the product is subsequently agreed to between the parties. The fees typically are of a fixed amount and payable by the Geely Holding subsidiary in one lump sum or by milestones.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purchase of products and services by the Geely Holding subsidiary from us is and has been typically completed through purchase orders under one of the following sets of standard terms adopted by the Geely Holding subsidiary in respect of its suppliers.</w:t>
      </w:r>
    </w:p>
    <w:p>
      <w:pPr>
        <w:spacing w:after="0" w:line="185" w:lineRule="exact"/>
        <w:rPr>
          <w:sz w:val="20"/>
          <w:szCs w:val="20"/>
          <w:color w:val="auto"/>
        </w:rPr>
      </w:pPr>
    </w:p>
    <w:p>
      <w:pPr>
        <w:ind w:left="660" w:hanging="328"/>
        <w:spacing w:after="0" w:line="25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Purchasing Contract General Terms and Conditions</w:t>
      </w:r>
      <w:r>
        <w:rPr>
          <w:rFonts w:ascii="Times New Roman" w:cs="Times New Roman" w:eastAsia="Times New Roman" w:hAnsi="Times New Roman"/>
          <w:sz w:val="18"/>
          <w:szCs w:val="18"/>
          <w:color w:val="auto"/>
        </w:rPr>
        <w:t>. These general terms and conditions apply to all documents between us and the signing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Geely Holding subsidiary, including all purchase orders, executed between the parties during the development, supply, post-sales, and other phases of the relevant automotive products, service parts, assemblies, accessories, raw materials, tooling, design, engineering, or other services, and software embedded in goods or provided separately. The specific products and services to be purchased by the Geely Holding subsidiary and their quantity are set forth in the purchase orders issued by such Geely Holding subsidiary under these general terms and conditions. The prices for the specific products and services to be purchased by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Geely Holding subsidiary are separately agreed between the parties. We issue invoices monthly, typically payable within 60 or 75 days, depending on the nature of the products and services subject to the purchase orders.</w:t>
      </w:r>
    </w:p>
    <w:p>
      <w:pPr>
        <w:spacing w:after="0" w:line="185" w:lineRule="exact"/>
        <w:rPr>
          <w:sz w:val="20"/>
          <w:szCs w:val="20"/>
          <w:color w:val="auto"/>
        </w:rPr>
      </w:pPr>
    </w:p>
    <w:p>
      <w:pPr>
        <w:ind w:left="660" w:right="40" w:hanging="328"/>
        <w:spacing w:after="0" w:line="25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Material Global Purchasing Terms and Conditions. </w:t>
      </w:r>
      <w:r>
        <w:rPr>
          <w:rFonts w:ascii="Times New Roman" w:cs="Times New Roman" w:eastAsia="Times New Roman" w:hAnsi="Times New Roman"/>
          <w:sz w:val="18"/>
          <w:szCs w:val="18"/>
          <w:color w:val="auto"/>
        </w:rPr>
        <w:t>These terms and conditions apply to the purchases of production goods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relevant Geely Holding subsidiary from us including: (i) production and service parts, components, assemblies, and accessories, (ii) raw materials, (iii) tooling, (iv) design, engineering, or other services, and (v) software embedded in goods or provided separately. The specific goods and services to be purchased and the price, quantity, and payment terms are set forth in the purchase orders. These terms and conditions include certain pricing principles to guide the good faith negotiations between the parties. The initial term of a production purchase order begins on its effective date and expires on June 30 of the next calendar year and is renewed automatically on July 1 for an additional 12 months unless a notice of non-renewal is issued.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Zhejiang Huanfu</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Prior to December 2021, we provided the TSP maintenance service using our own service team. In response to the tightening of the regulatory framework governing data security, cybersecurity and privacy by PRC government authorities, we transferred the right to data business to Zhejiang Huanfu (the “transfer of Right to Data”) in December 2021.</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procurement framework agreement with Zhejiang Huanfu and thereafter concluded several procurement-related contracts pursuant to the procurement framework agreement to procure certain data-related services (including hosting of information, including personal data, as well as IT system support and troubleshooting) from Zhejiang Huanfu and fulfill the obligations to perform connectivity service that were committed to prior to the aforementioned transfer to Zhejiang Huanfu for the sole purpose of restricting our access to personal data. In 2022 and 2023, we also licensed certain intellectual property to Zhejiang Huanfu to enable it to perform such data-related services.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2024, we also provided technical consulting services to Zhejiang Huanfu regarding the development of telematics products and licensed certain intellectual property to Zhejiang Huanfu relating to information security of telematics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Hubei ECARX</w:t>
      </w:r>
    </w:p>
    <w:p>
      <w:pPr>
        <w:spacing w:after="0" w:line="2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2023, in connection with our autonomous driving systems, we engaged Hubei ECARX for an autonomous driving compliance and cloud data compliance service after having compared the pricing terms with the quotations obtained from other unrelated third-party vendors. Under this contract, Hubei ECARX is responsible for (i) the collection and storage of general sensor data (as opposed to surveying and mapping data); (ii) the desensitization of such data in a regulation compliant environment; and (iii) the provision of the desensitized data to the Company for its ADAS/autonomous driving products and technologies.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DreamSmart and its subsidiaries</w:t>
      </w:r>
    </w:p>
    <w:p>
      <w:pPr>
        <w:spacing w:after="0" w:line="229"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18"/>
          <w:szCs w:val="18"/>
          <w:color w:val="auto"/>
        </w:rPr>
        <w:t>In November 2023, we entered into a strategic cooperation agreement and a licensing agreement with Hubei Xingji Meizu Group Co., Ltd., or Xingji Meizu, an indirect subsidiary of DreamSmart Technology Pte Ltd. (“DreamSmart Singapore”). Pursuant to the strategic cooperation agreement, Xingji Meizu and we will further collaborate in the development and commercialization of the Flyme Auto intelligent cockpit solutions for three years.</w:t>
      </w:r>
    </w:p>
    <w:p>
      <w:pPr>
        <w:spacing w:after="0" w:line="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Pursuant to the licensing agreement, we obtained certain rights to distribute the Flyme Auto intelligent cockpit solutions worldwide for three years with a total licensing fee of RMB150 million payable by us in installments. In May 2025, the parties entered into an amendment agreement and agreed to extend the license for an additional term of 8 years to November 2033 on an exclusive basis for no additional consideration.</w:t>
      </w:r>
    </w:p>
    <w:p>
      <w:pPr>
        <w:spacing w:after="0" w:line="186" w:lineRule="exact"/>
        <w:rPr>
          <w:sz w:val="20"/>
          <w:szCs w:val="20"/>
          <w:color w:val="auto"/>
        </w:rPr>
      </w:pPr>
    </w:p>
    <w:p>
      <w:pPr>
        <w:ind w:right="220" w:firstLine="648"/>
        <w:spacing w:after="0" w:line="226" w:lineRule="exact"/>
        <w:rPr>
          <w:sz w:val="20"/>
          <w:szCs w:val="20"/>
          <w:color w:val="auto"/>
        </w:rPr>
      </w:pPr>
      <w:r>
        <w:rPr>
          <w:rFonts w:ascii="Times New Roman" w:cs="Times New Roman" w:eastAsia="Times New Roman" w:hAnsi="Times New Roman"/>
          <w:sz w:val="18"/>
          <w:szCs w:val="18"/>
          <w:color w:val="auto"/>
        </w:rPr>
        <w:t>In 2025, ECARX Hubei entered into a technology development entrustment agreement with Xingji Meizu, under which Meizu was engaged to provide software development, system integration, testing, and related technical services in connection with an intelligent cockpit software project for an end customer. The agreement has a total contract value of RMB50.0 million (tax inclusive) and covers services provided over the period from July 2025 through December 2027. Payments are made based on agreed milestones and advance payments, with deliverables subject to acceptance. Intellectual property created under the agreement is generally owned by the end customer, subject to customary background IP carve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648"/>
        <w:spacing w:after="0" w:line="220" w:lineRule="exact"/>
        <w:rPr>
          <w:sz w:val="20"/>
          <w:szCs w:val="20"/>
          <w:color w:val="auto"/>
        </w:rPr>
      </w:pPr>
      <w:r>
        <w:rPr>
          <w:rFonts w:ascii="Times New Roman" w:cs="Times New Roman" w:eastAsia="Times New Roman" w:hAnsi="Times New Roman"/>
          <w:sz w:val="18"/>
          <w:szCs w:val="18"/>
          <w:color w:val="auto"/>
        </w:rPr>
        <w:t>In August 2025, ECARX Hubei also entered into a loan agreement with Xingji Meizu pursuant to which ECARX (Hubei) provided a RMB49.0 million loan to Meizu for working capital and general corporate purposes. The loan bears interest at 4.06% per annum, calculated based on the actual number of days outstanding, and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ending in August 2026, subject to customary acceleration events. The loan is repayable in a single lump sum of principal and accrued interest at maturity.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December 2025, we entered into a convertible loan agreement with DreamSmart Singapore pursuant to which we provided RMB300 million (equivalent to US$43 million) of funding to a subsidiary of DreamSmart Singapore, Hubei DreamSmart Group Co., Ltd. (“DreamSmart Hubei”) with a contractual term of 36 months. The interest is calculated at an annual interest rate, which is equal to the average of the five-year Loan Prime Rate (“LPR”) and the one-year LPR published by the National Interbank Funding Center on the date of the loan disbursement (including such date), plus 45 basis points (one basis point being 0.01%).</w:t>
      </w:r>
    </w:p>
    <w:p>
      <w:pPr>
        <w:spacing w:after="0" w:line="210" w:lineRule="exact"/>
        <w:rPr>
          <w:sz w:val="20"/>
          <w:szCs w:val="20"/>
          <w:color w:val="auto"/>
        </w:rPr>
      </w:pPr>
    </w:p>
    <w:p>
      <w:pPr>
        <w:ind w:right="120" w:firstLine="648"/>
        <w:spacing w:after="0" w:line="220" w:lineRule="exact"/>
        <w:rPr>
          <w:sz w:val="20"/>
          <w:szCs w:val="20"/>
          <w:color w:val="auto"/>
        </w:rPr>
      </w:pPr>
      <w:r>
        <w:rPr>
          <w:rFonts w:ascii="Times New Roman" w:cs="Times New Roman" w:eastAsia="Times New Roman" w:hAnsi="Times New Roman"/>
          <w:sz w:val="18"/>
          <w:szCs w:val="18"/>
          <w:color w:val="auto"/>
        </w:rPr>
        <w:t>In December 2025, we also entered into a production procurement framework agreement with Xingji Meizu for a one year term with an aim to create an efficient procurement channel for integrated circuit materials across ECARX group entities. This agreement further integrates Meizu into ECARX’s automotive electronics supply chain. The framework agreement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and does not commit us or our affiliates to any minimum purchase volume. Binding obligations arise only upon issuance of specific purchase orders, which set forth product specifications, quantities, pricing, and delivery terms. Our affiliates may transact independently with Meizu under the framework without joint or several liability.</w:t>
      </w:r>
    </w:p>
    <w:p>
      <w:pPr>
        <w:spacing w:after="0" w:line="228" w:lineRule="exact"/>
        <w:rPr>
          <w:sz w:val="20"/>
          <w:szCs w:val="20"/>
          <w:color w:val="auto"/>
        </w:rPr>
      </w:pPr>
    </w:p>
    <w:p>
      <w:pPr>
        <w:ind w:right="20" w:firstLine="648"/>
        <w:spacing w:after="0" w:line="227" w:lineRule="exact"/>
        <w:rPr>
          <w:sz w:val="20"/>
          <w:szCs w:val="20"/>
          <w:color w:val="auto"/>
        </w:rPr>
      </w:pPr>
      <w:r>
        <w:rPr>
          <w:rFonts w:ascii="Times New Roman" w:cs="Times New Roman" w:eastAsia="Times New Roman" w:hAnsi="Times New Roman"/>
          <w:sz w:val="18"/>
          <w:szCs w:val="18"/>
          <w:color w:val="auto"/>
        </w:rPr>
        <w:t>In January 2026, ECARX Holdings Inc. entered into a loan agreement with DreamSmart Infinity Hong Kong Limited, a Meizu affiliate, pursuant to which ECARX Holdings Inc. provided a US$4.6 million loan for general business operations. The loan bears interest at 4.06% per annum, calculated on an actual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basis, and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ending in January 2027, with repayment of principal and accrued interest in a single payment at maturity, subject to customary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provisions.</w:t>
      </w:r>
    </w:p>
    <w:p>
      <w:pPr>
        <w:spacing w:after="0" w:line="20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and details of the nature and amounts of transactions with related parties, see Note 28 to our consolidated financial statements included in this annual report.</w:t>
      </w:r>
    </w:p>
    <w:p>
      <w:pPr>
        <w:spacing w:after="0" w:line="158" w:lineRule="exact"/>
        <w:rPr>
          <w:sz w:val="20"/>
          <w:szCs w:val="20"/>
          <w:color w:val="auto"/>
        </w:rPr>
      </w:pPr>
    </w:p>
    <w:p>
      <w:pPr>
        <w:ind w:left="660" w:right="8360" w:hanging="652"/>
        <w:spacing w:after="0" w:line="500" w:lineRule="auto"/>
        <w:tabs>
          <w:tab w:leader="none" w:pos="33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ECARX Holdings, our subsidiaries, and Hubei ECARX have not declared or paid dividends or made any distributions as of the date of this annual report. We do not intend to declare dividends or make distributions in the near future. Any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holding company, ECARX Holdings may rely on dividends from our subsidiaries for cash requirements, including any payment of dividends to its shareholders. The ability of our subsidiaries to pay dividends or make</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to ECARX Holdings may be restricted by laws and regulations applicable to them or the debt they incur on their own behalf or the instruments governing their debt. Restrictions on the ability of our mainland China subsidiaries to pay dividends to an offshore entity primarily include: (i) the mainland China subsidiaries may pay dividends only out of their accumulated after-tax profits upon satisfaction of applicable statutory conditions and procedures, if any, determined in accordance with accounting standards and regulations in mainland China; (ii) each of the mainland China subsidiaries is required to set aside at least 10% of its after-tax profits each year, if any, to fund certain reserve funds until the total amount set aside reaches 50% of its registered capital;</w:t>
      </w:r>
    </w:p>
    <w:p>
      <w:pPr>
        <w:spacing w:after="0" w:line="3" w:lineRule="exact"/>
        <w:rPr>
          <w:sz w:val="20"/>
          <w:szCs w:val="20"/>
          <w:color w:val="auto"/>
        </w:rPr>
      </w:pPr>
    </w:p>
    <w:p>
      <w:pPr>
        <w:ind w:right="20" w:firstLine="8"/>
        <w:spacing w:after="0" w:line="255"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mainland China subsidiaries are required to complete certain procedural requirements related to foreign exchange control in order to make dividend payments in foreign currencies; and (iv) a withholding tax, at the rate of 10% or lower, is payable by the mainland China subsidiary upon dividend remittance.</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while there are no exchange control regulations or currency restrictions, ECARX Holdings is also subject to certain restrictions under Cayman Islands law on dividend distribution to its shareholders, namely that it may only pay dividends out of profits or share premium account, and provided always that in no circumstances may a dividend be paid if this would result in ECARX being unable to pay its debts as they fall due in the ordinary course of business.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Offering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and Warrants have been listed on The Nasdaq Global Market since December 21, 2022 under the symbol “ECX” and “ECXWW,” respectively.</w:t>
      </w:r>
    </w:p>
    <w:p>
      <w:pPr>
        <w:spacing w:after="0" w:line="158" w:lineRule="exact"/>
        <w:rPr>
          <w:sz w:val="20"/>
          <w:szCs w:val="20"/>
          <w:color w:val="auto"/>
        </w:rPr>
      </w:pPr>
    </w:p>
    <w:p>
      <w:pPr>
        <w:ind w:left="660" w:right="9380" w:hanging="652"/>
        <w:spacing w:after="0" w:line="500" w:lineRule="auto"/>
        <w:tabs>
          <w:tab w:leader="none" w:pos="32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and Warrants are listed on Nasdaq under the symbols “ECX” and “ECXWW,” respectively.</w:t>
      </w:r>
    </w:p>
    <w:p>
      <w:pPr>
        <w:spacing w:after="0" w:line="221" w:lineRule="exact"/>
        <w:rPr>
          <w:sz w:val="20"/>
          <w:szCs w:val="20"/>
          <w:color w:val="auto"/>
        </w:rPr>
      </w:pPr>
    </w:p>
    <w:p>
      <w:pPr>
        <w:ind w:left="660" w:right="9320" w:hanging="652"/>
        <w:spacing w:after="0" w:line="530" w:lineRule="auto"/>
        <w:tabs>
          <w:tab w:leader="none" w:pos="335"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20" w:hanging="312"/>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F.</w:t>
        <w:tab/>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Memorandum and Articles of Association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seventh amended and restated memorandum and articles of association, as well as the Companies Act (As Revised) insofar as they relate to the material terms of our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description of the Warrants is also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registered office of our company is at Maples Corporate Services Limited, PO Box 309, Ugland House, Grand Cayman, KY1-1104, Cayman Islands. The objects for which our company is established are unrestricted and we have full power and authority to carry out any object not prohibited by the Companies Act (As Revised) or any other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generally have the same rights except for voting and conversion rights. We maintain a register of our shareholders and a shareholder will only be entitled to a share certificate if our board of directors resolves that share certificates be issued.</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Although Mr. Eric Li (Li Shufu) and Mr. Ziyu Shen (each a “Co-Founder”) control the voting power of all of the issued and outstanding Class B Ordinary Shares, their controls over those shares are not permanent and are subject to reduction or elimination. As further described below, upon any transfer of Class B Ordinary Shares by a holder thereof to any person which is not Mr. Li or Mr. Shen or an affiliate of them, those shares will automatically and immediately convert into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holders of Ordinary Shares are entitled to such dividends as the board of directors may in its discretion lawfully declare from time to time, or as shareholders may declare by ordinary resolution. Class A Ordinary Shares and Class B Ordinary Shares rank equally as to dividends and other distributions. Dividends may be paid either in cash or in specie.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respect of all matters upon which holders of Ordinary Shares are entitled to vote, each Class A Ordinary Share is entitled to one vote and each Class B Ordinary Share is entitled to ten votes. Voting at any meeting of shareholders is decided by way of a poll and not by way of a show of hands. A poll shall be taken in such manner as the chairperson of the meeting directs and the result of a poll shall be deemed to be the resolution of the meeting.</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Class A Ordinary Shares and Class B Ordinary Shares shall vote together on all matters as a single class except as otherwise required by law. An ordinary resolution to be passed by the shareholders requires a simple majority of votes cast by such shareholders as, being entitled to do so, vote at a general meeting of our company, while a special resolution requires not less than two-thirds of votes cast by such shareholders as, being entitled to do so, vote at a general meeting of our company. Both ordinary resolutions and special resolutions may also be passed by a unanimous written resolution signed by all members entitled to vote. A special resolution is required for important matters such as a change of name or making changes to our then existing memorandum and articles of association.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and Mandatory Conversion</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Upon any direct or indirect sale, transfer, assignment or disposition of Class B Ordinary Shares by a holder thereof or the direct or indirect transfer or assignment of the voting power attached to such Class B Ordinary Shares through voting proxy or otherwise to any person which is not a Co-Founder or a Co-Founder’s affiliate, such Class B Ordinary Share will automatically and immediately convert into an equal number of Class A Ordinary Share.</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Mr. Eric Li (Shufu Li) or Mr. Ziyu Shen or their respective affiliate, such Class B Ordinary Share will automatically and immediately convert into an equal number of Class A Ordinary Share; provided, that any such direct or indirect sale, transfer, assignment, or disposition to an affiliate of Mr. Eric Li (Shufu Li) or Mr. Ziyu Shen shall result in the automatic and immediate conversion of the Class B Ordinary Shares into an equal number of Class A Ordinary Shares if Mr. Eric Li (Shufu Li) or Mr. Ziyu Shen does not continue to have sole dispositive power and exclusive voting control over the Class B Ordinary Shares after such sale, transfer, assignment, or disposition.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laws, including securities laws, and the restrictions contained in the seventh amended and restated memorandum and articles of association of ECARX Holdings and to any lock-up agreements to which a shareholder may be a party, any shareholders may transfer all or any of their Class A Ordinary Shares by an instrument of transfer in the usual or common form or any other form approved by our board of directors.</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Class B Ordinary Shares may be transferred only to a Co-Founder or a Co-Founder’s affiliate and any Class B Ordinary Shares transferred otherwise will be converted into Class A Ordinary Shares as described above. See “—Optional and Mandatory Conversion.”</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their absolute discretion decline to register any transfer of shares which is not fully paid up or on which we have a lien. Our board of directors may also decline to register any transfer of any share unless:</w:t>
      </w:r>
    </w:p>
    <w:p>
      <w:pPr>
        <w:spacing w:after="0" w:line="54" w:lineRule="exact"/>
        <w:rPr>
          <w:sz w:val="20"/>
          <w:szCs w:val="20"/>
          <w:color w:val="auto"/>
        </w:rPr>
      </w:pPr>
    </w:p>
    <w:p>
      <w:pPr>
        <w:ind w:left="980" w:right="180" w:hanging="324"/>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(if any)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or</w:t>
      </w:r>
    </w:p>
    <w:p>
      <w:pPr>
        <w:spacing w:after="0" w:line="117"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board of directors may from time to time require, is paid to us in respect thereof.</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our board of directors refuses to register a transfer they shall, within three calendar months after the date on which the instrument of transfer was lodged, send to each of the transferor and the transferee notice of such refusal.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1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1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The Ordinary Shares that have been called upon and remain unpaid are, after a notice period, subject to forfeiture.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and Repurchase of Ordinary Shares</w:t>
      </w:r>
    </w:p>
    <w:p>
      <w:pPr>
        <w:spacing w:after="0" w:line="21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Subject to the provisions of the Companies Act (As Revised) of the Cayman Islands, we may issue shares that are to be redeemed or are liable to be redeemed at the option of the shareholder or us. The redemption of such shares will be effected in such manner and upon such other terms as we may, by either our board of directors or by the shareholders by ordinary resolution, determine before the issue of the shares. We may purchase our own shares (including any redeemable shares) on such terms and in such manner and terms as have been approved by the our board of directors or by the shareholders by ordinary resolution.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16"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rights attached to any class may, subject to any rights or restrictions for the time being attached to any class, only be materially and adversely varied with the consent in writing of the holders of at least two-thirds (2/3) of the issued shares of that class, or with the sanction of a special resolution passed by a majority of not less than two-thirds of the votes cast at a separate meeting of the holders of the shares of that class where at least one-third (1/3) in nominal or par value amount of the issued shares of that class are present (provided that if at any adjourned meeting of such holders a quorum as above defined is not present, those shareholders who are present shall form a quorum).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16"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We may (but shall not be obliged to) in each calendar year hold an annual general meeting. The annual general meeting shall be held at such time and place as our board of directors may determine. At least seven calendar days’ notice shall be given for any general meeting. The chairperson of our board of directors or our board of directors may call general meetings. Our board of directors must convene an extraordinary general meeting upon the requisition of shareholders holding at least one-third of the votes attaching to all issued and outstanding shares of our company that as at the date of the deposit carry the right to vote at general meetings of our company. One or more shareholders holding shares which carry in aggregate (or representing by proxy) not less than one-third (1/3) of all votes attaching to all shares in issue and entitled to vote at such general meeting present shall be a quorum for all purposes; provided, that the presence in person or by proxy of holders of a majority of our Class B Ordinary Shares shall be required in any event.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will determine whether, to what extent, at what times and places and under what conditions or regulations our accounts and books will be open to the inspection by shareholders, and no shareholder will otherwise have any right of inspecting any account or book or document of us except as required by law or authorized by our board of directors or our shareholders by special resolution.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17"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such amount as we think expedient;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share capital into shares of a larger amount than existing shares;</w:t>
      </w:r>
    </w:p>
    <w:p>
      <w:pPr>
        <w:spacing w:after="0" w:line="11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67"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4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may by special resolution reduce our share capital or any capital redemption reserve in any manner authorized by the Companies Act (As Revised) of the Cayman Islands.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16"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Certain of our shareholders are entitled to certain registration rights, pursuant to which we have agreed to provide customary demand registration rights and “piggyback” registration rights with respect to such registrable securities and, subject to certain circumstances, to file a resale shelf registration statement to register the resale under the Securities Act of such registrable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Class A Ordinary Share at a price of US$11.50 per share, subject to adjustment as discussed below. Pursuant to the Warrant Agreement, a Warrant holder may exercise its Warrants only for a whole number of Ordinary Shares. This means only a whole Warrant may be exercised at a given time by a Warrant holder. The Warrants will expire five years after the completion of the Business Combination, at 5:00 p.m., New York City time, or earlier upon redemption or liquidation.</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Class A Ordinary Shares pursuant to the exercise of a Warrant and will have no obligation to settle such exercise unless a registration statement under the Securities Act with respect to the Class A Ordinary Shares underlying the Warrants is then effective and a prospectus relating thereto is current, subject to us satisfying our obligations described below with respect to registration, or a valid exemption from registration is available. No Warrant will be exercisable for cash or on a cashless basis,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filed the registration statement within the timeframe set forth in the Warrant Agreement and have agreed to use our commercially reasonable efforts to maintain the effectiveness of such registration statement and a current prospectus relating to those Class A Ordinary Shares until the Warrants expire or are redeemed, as specified in the Warrant Agreement. If the Class A Ordinary Shares are at the time of any exercise of a Warrant are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During any period when we will have failed to maintain an effective registration statement, Warrant holders may exercise Warrants on a “cashless basis” in accordance with Section 3(a)(9) of the Securities Act or another exemption; provided that if the exemption under Section 3(a)(9) of the Securities Act, or another exemption, is not available, holders will not be able to exercise their Warrants on a cashless basis.</w:t>
      </w:r>
    </w:p>
    <w:p>
      <w:pPr>
        <w:spacing w:after="0" w:line="19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the case of a cashless exercise, each holder would pay the exercise price by surrendering the Warrants for that number of Class A Ordinary Shares equal to the quotient obtained by dividing (x) the product of the number of Class A Ordinary Shares underlying the Warrants, multiplied by the excess of the “fair market value” less the exercise price of the Warrants by (y) the fair market value. The “fair market value” as used in this paragraph means the volume-weighted average price of the Class A Ordinary Shares as reported during the 10-trading day period ending on the trading day prior to the date on which the notice of exercise is received by the Warrant agent.</w:t>
      </w:r>
    </w:p>
    <w:p>
      <w:pPr>
        <w:spacing w:after="0" w:line="183"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we elect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US$18.00</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 (except as described herein with respect to the Sponsor Warrants):</w:t>
      </w:r>
    </w:p>
    <w:p>
      <w:pPr>
        <w:spacing w:after="0" w:line="117"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US$0.01 per Warrant;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US$18.00 per share (as adjusted for adjustments to the number of shares issuable upon exercise or the exercise price of a Warrant as described under the heading “—Warrants—Public Warrants— Anti-Dilution Adjustments”) for any 20 trading days within a 30-trading day period ending three trading days before we send the notice of redemption to the Warrant holders.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Class A Ordinary Shares upon exercise of the Warrants is not exempt from registration or qualification under applicable state blue sky laws or we are unable to effect such registration or qualification.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US$18.00 redemption trigger price (as adjusted for adjustments to the number of shares issuable upon exercise or the exercise price of a Warrant as described below under the heading “—Warrants—Public Warrants—Anti-dilution Adjustments”) as well as the US$11.50 (for whole shares) Warrant exercise price after the redemption notice is issued.</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its shareholders of issuing the maximum number of Class A Ordinary Shares issuable upon the exercise of the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difference between the exercise price of the Warrants and the “fair market value” by (y) the fair market value. For this purpose, “fair market value” means the average reported last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Ordinary Shares to be received upon exercise of the Warrants, including the “fair market value” in such case.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Class A Ordinary Shares is increased by a capitalization or share dividend payable in Class A Ordinary Shares, or by a subdivision of ordinary shares or other similar event, then, on the effective date of such capitalization or share dividend,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10-trading day period ending on the trading day prior to the first date on which the Class A Ordinary Shares trade on the applicable exchange or in the applicable market, regular way, without the right to receive such rights.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or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US$0.50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US$0.50 per share,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the number of issued and outstanding Class A Ordinary Shares is decreased by a consolidation, combination or reclassification of Class A Ordinary Shares or other similar event, then, on the effective date of such consolidation, combination, reclassification or similar event, the number of Class A Ordinary Shares issuable on exercise of each Warrant will be decreased in proportion to such decrease in issued and outstanding Class A Ordinary Shares.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the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period of the Warrants pursuant to which the holders of the Warrants otherwise do not receive the full potential value of the Warrants.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annual report,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United States of America are the sole and exclusive forum.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Warrants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below, the Sponsor Warrants have terms and provisions that are identical to those of the Warrants that were sold as part of the units in COVA’s initial public offering. The Sponsor Warrants will not be redeemable by us so long as they are held by the Sponsor or its permitted transferees (except as otherwise set forth herein). If the Sponsor Warrants are held by holders other than the Sponsor or its permitted transferees, the Sponsor Warrants will be redeemable by us in all redemption scenarios and exercisable by the holders on the same basis as the Warrants.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Sponsor, or its permitted transferees, has the option to exercise the Sponsor Warrants on a cashless basis. If holders of the Sponsor Warrants elect to exercise them on a cashless basis, they would pay the exercise price by surrendering his, her or its Sponsor Warrants for that number of Class A Ordinary Shares equal to the quotient obtained by dividing (x) the product of the number of Class A Ordinary Shares underlying the Sponsor Warrants, multiplied by the excess of the “Sponsor fair market value” (defined below) over the exercise price of the Sponsor Warrants by (y) the Sponsor fair market value. For these purposes, the “Sponsor fair market value” shall mean the average reported closing price of the Class A Ordinary Shares for the 10 trading days ending on the third trading day prior to the date on which the notice of Sponsor Warrant exercise is sent to the Warrant agent.</w:t>
      </w:r>
    </w:p>
    <w:p>
      <w:pPr>
        <w:spacing w:after="0" w:line="18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Any amendment to the terms of the Sponsor Warrants or any provision of the Warrant Agreement with respect to the Sponsor Warrants will require a vote of holders of at least 65% of the number of the then outstanding Sponsor Warrants.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 or elsewhere in this annual report.</w:t>
      </w:r>
    </w:p>
    <w:p>
      <w:pPr>
        <w:spacing w:after="0" w:line="2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 on Foreign Exchange.”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following summary of Cayman Islands and U.S. federal income tax considerations generally applicable to an investment in our ordinary shares is based upon laws and relevant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based on the advice of Maples and Calder (Hong Kong) LLP, our Cayman Islands counsel, but it does not purport to be a comprehensive description of all the tax considerations that may be relevant to a decision to purchase ordinary shares. The summary is based upon the tax laws of the Cayman Islands and regulations thereunder as of the date hereof, which are subject to change.</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advisors on the possible tax consequences of buying, holding or selling any shares under the laws of their country of citizenship, residence or domicile.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Class A Ordinary Shares and Warrants, collectively referred to as the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existing Cayman Islands laws, payments of dividends and capital in respect of Securities will not be subject to taxation in the Cayman Islands and no withholding will be required on the payment of interest and principal or a dividend or capital to any holder of the Securities, as the case may be, nor will gains derived from the disposal of the Securities be subject to Cayman Islands income or corporation tax. The Cayman Islands currently have no income, corporate or capital gains tax and no estate duty, inheritance tax or gift tax.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stamp duty is payable in respect of the issue of Securities or on an instrument of transfer in respect of Securities.</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been incorporated under the laws of the Cayman Islands as an exempted company with limited liability and, as such, have obtained undertakings from the Governor in Cabinet of the Cayman Islands in the following form:</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section 6 of the Tax Concessions Act (As Revised) of the Cayman Islands, the Governor in Cabinet of the Cayman Islands has undertaken with us that:</w:t>
      </w:r>
    </w:p>
    <w:p>
      <w:pPr>
        <w:spacing w:after="0" w:line="162" w:lineRule="exact"/>
        <w:rPr>
          <w:sz w:val="20"/>
          <w:szCs w:val="20"/>
          <w:color w:val="auto"/>
        </w:rPr>
      </w:pPr>
    </w:p>
    <w:p>
      <w:pPr>
        <w:ind w:left="660" w:right="40" w:hanging="328"/>
        <w:spacing w:after="0" w:line="282" w:lineRule="auto"/>
        <w:tabs>
          <w:tab w:leader="none" w:pos="65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which is thereafter enacted in the Cayman Islands imposing any tax to be levied on profits, income, gains or appreciations shall apply to us or our operations; and</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the shares, debentures or other obligations of us; or</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any relevant payment as defined in Section 6(3) of the Tax Concessions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concessions apply for a period of 20 years from February 18, 2022.</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appreciations and there is no taxation in the nature of inheritance tax or estate duty. There are no other taxes likely to be material to holders of our ordinary shares levied by the Government of the Cayman Islands save certain stamp duties which may be applicable, from time to time, on certain instruments executed in or brought within the jurisdiction of the Cayman Islands.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16" w:lineRule="exact"/>
        <w:rPr>
          <w:sz w:val="20"/>
          <w:szCs w:val="20"/>
          <w:color w:val="auto"/>
        </w:rPr>
      </w:pPr>
    </w:p>
    <w:p>
      <w:pPr>
        <w:ind w:right="240" w:firstLine="648"/>
        <w:spacing w:after="0" w:line="277" w:lineRule="auto"/>
        <w:rPr>
          <w:sz w:val="20"/>
          <w:szCs w:val="20"/>
          <w:color w:val="auto"/>
        </w:rPr>
      </w:pPr>
      <w:r>
        <w:rPr>
          <w:rFonts w:ascii="Times New Roman" w:cs="Times New Roman" w:eastAsia="Times New Roman" w:hAnsi="Times New Roman"/>
          <w:sz w:val="17"/>
          <w:szCs w:val="17"/>
          <w:color w:val="auto"/>
        </w:rPr>
        <w:t>The following is a general summary of U.S. federal income tax considerations generally applicable to the ownership and disposition of the Securities by U.S. Holders (defined below) that hold Securities as “capital assets” for U.S. federal income tax purposes (generally, property held for investment). This summary is based on the U.S. Internal Revenue Code of 1986, as amended (the “Code”), Treasury regulations promulgated thereunder (the “Regulations”), rulings, official pronouncements, and judicial decisions, all as in effect on the date hereof and all of which are subject to change and</w:t>
      </w:r>
    </w:p>
    <w:p>
      <w:pPr>
        <w:spacing w:after="0" w:line="2"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differing interpretations, possibly with retroactive effect, which may give rise to U.S. federal income tax considerations different from those discussed herein. There can be no assurance that the Internal Revenue Service (the “IRS”) would not assert, or that a court would not sustain a position contrary to those described below.</w:t>
      </w:r>
    </w:p>
    <w:p>
      <w:pPr>
        <w:spacing w:after="0" w:line="169" w:lineRule="exact"/>
        <w:rPr>
          <w:sz w:val="20"/>
          <w:szCs w:val="20"/>
          <w:color w:val="auto"/>
        </w:rPr>
      </w:pPr>
    </w:p>
    <w:p>
      <w:pPr>
        <w:ind w:right="840"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important to holders in light of their individual circumstances, or to holders subject to special treatment under the U.S. tax laws, such as:</w:t>
      </w:r>
    </w:p>
    <w:p>
      <w:pPr>
        <w:spacing w:after="0" w:line="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officers or directors;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financial institutions or financial services entities;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broker-dealers;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entities;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S-corporations, partnerships and other pass-through entities or arrangements;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governments or agencies or instrumentalities thereof;</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insurance companies;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regulated investment companies;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real estate investment trusts;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expatriates or former long-term residents of the United States;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actually or constructively own Class A Ordinary Shares representing ten percent or more of our shares by vote or value;</w:t>
      </w:r>
    </w:p>
    <w:p>
      <w:pPr>
        <w:spacing w:after="0" w:line="22" w:lineRule="exact"/>
        <w:rPr>
          <w:rFonts w:ascii="Times New Roman" w:cs="Times New Roman" w:eastAsia="Times New Roman" w:hAnsi="Times New Roman"/>
          <w:sz w:val="22"/>
          <w:szCs w:val="22"/>
          <w:color w:val="auto"/>
        </w:rPr>
      </w:pPr>
    </w:p>
    <w:p>
      <w:pPr>
        <w:ind w:left="660" w:right="740" w:hanging="328"/>
        <w:spacing w:after="0" w:line="234" w:lineRule="auto"/>
        <w:tabs>
          <w:tab w:leader="none" w:pos="65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acquired Securities pursuant to an exercise of employee share options, in connection with employee share incentive plans or otherwise as compensation or in connection with services;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hold Securities as part of a straddle, constructive sale, hedging, conversion or other integrated or similar transaction; or</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9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Furthermore, this discussion does not address any aspect of U.S. federal non-income tax laws, such as gift, estate, Medicare and minimum tax, or any state, local or non-U.S. tax laws.</w:t>
      </w:r>
    </w:p>
    <w:p>
      <w:pPr>
        <w:spacing w:after="0" w:line="155"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4"/>
          <w:szCs w:val="14"/>
          <w:b w:val="1"/>
          <w:bCs w:val="1"/>
          <w:color w:val="auto"/>
        </w:rPr>
        <w:t>THIS SUMMARY DOES NOT PURPORT TO BE A COMPREHENSIVE ANALYSIS OR DESCRIPTION OF ALL POTENTIAL U.S. FEDERAL INCOME TAX CONSIDERATIONS RELATING TO OWNING AND DISPOSING OF SECURITIES. HOLDERS OF SECURITIES SHOULD CONSULT THEIR TAX ADVISORS REGARDING THE PARTICULAR TAX CONSEQUENCES TO THEM OF THE OWNERSHIP AND DISPOSITION OF SECURITIES, INCLUDING THE APPLICABILITY AND EFFECTS OF U.S. FEDERAL, STATE, LOCAL, AND OTHER TAX LAWS.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annual report, the term “U.S. Holder” means a beneficial owner of Securities (as determined for U.S. federal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for U.S. federal income tax purposes:</w:t>
      </w:r>
    </w:p>
    <w:p>
      <w:pPr>
        <w:spacing w:after="0" w:line="1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citizen or individual resident of the United States;</w:t>
      </w:r>
    </w:p>
    <w:p>
      <w:pPr>
        <w:spacing w:after="0" w:line="22" w:lineRule="exact"/>
        <w:rPr>
          <w:rFonts w:ascii="Times New Roman" w:cs="Times New Roman" w:eastAsia="Times New Roman" w:hAnsi="Times New Roman"/>
          <w:sz w:val="22"/>
          <w:szCs w:val="22"/>
          <w:color w:val="auto"/>
        </w:rPr>
      </w:pPr>
    </w:p>
    <w:p>
      <w:pPr>
        <w:ind w:left="660" w:right="300" w:hanging="328"/>
        <w:spacing w:after="0" w:line="234" w:lineRule="auto"/>
        <w:tabs>
          <w:tab w:leader="none" w:pos="6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 w:lineRule="exact"/>
        <w:rPr>
          <w:rFonts w:ascii="Times New Roman" w:cs="Times New Roman" w:eastAsia="Times New Roman" w:hAnsi="Times New Roman"/>
          <w:sz w:val="22"/>
          <w:szCs w:val="22"/>
          <w:color w:val="auto"/>
        </w:rPr>
      </w:pPr>
    </w:p>
    <w:p>
      <w:pPr>
        <w:jc w:val="both"/>
        <w:ind w:left="660" w:right="40" w:hanging="328"/>
        <w:spacing w:after="0" w:line="239" w:lineRule="auto"/>
        <w:tabs>
          <w:tab w:leader="none" w:pos="628" w:val="left"/>
        </w:tabs>
        <w:numPr>
          <w:ilvl w:val="0"/>
          <w:numId w:val="49"/>
        </w:numPr>
        <w:rPr>
          <w:rFonts w:ascii="Arial" w:cs="Arial" w:eastAsia="Arial" w:hAnsi="Arial"/>
          <w:sz w:val="22"/>
          <w:szCs w:val="22"/>
          <w:color w:val="auto"/>
        </w:rPr>
      </w:pPr>
      <w:r>
        <w:rPr>
          <w:rFonts w:ascii="Times New Roman" w:cs="Times New Roman" w:eastAsia="Times New Roman" w:hAnsi="Times New Roman"/>
          <w:sz w:val="18"/>
          <w:szCs w:val="18"/>
          <w:color w:val="auto"/>
        </w:rPr>
        <w:t>a trust if (A) a court within the United States is able to exercise primary supervision over its administration and one or more U.S. persons have the authority to control all of its substantial decisions, or (B) it has in effect under applicable U.S. Treasury regulations a valid election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classified as a partnership for U.S. federal income tax purposes) is the beneficial owner of Securities, the U.S. federal income tax treatment of the partnership or a partner in the partnership will generally depend on the status of the partner and the activities of the partner and the partnership. If you are a partnership or a partner of a partnership holding Securities, we urge you to consult your own tax advisor.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Status,” a U.S. Holder will generally be required to include in gross income as a dividend the amount of any distribution paid on the Class A Ordinary Shares (including the amount of any tax withheld) to the extent the distribution is paid out of our current or accumulated earnings and profits (as determined for U.S. federal income tax purposes). Any such dividend will not be eligible for the dividends-received deduction generally allowed to domestic corporations in respect of dividends received from other domestic corporations. We do not intend to maintain calculations of our earnings and profits for U.S. federal income tax purposes. Accordingly, U.S. Holders should expect all cash distributions made by us to be reported as dividends for U.S. federal income tax purposes. Any dividend will generally not be eligible for the dividends received deduction allowed to corporations in respect of dividends received from U.S. corporations.</w:t>
      </w:r>
    </w:p>
    <w:p>
      <w:pPr>
        <w:spacing w:after="0" w:line="21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With respect to non-corporate U.S. Holders, dividends will generally be taxed at the lower long-term capital gains rate applicable to “qualified dividend income,” provided that the Class A Ordinary Shares are readily tradable on an established securities market in the United States, or, in the event that we are deemed to be a PRC resident enterprise under the PRC Enterprise Income Tax Law, we are eligible for the benefits of the United States-PRC income tax treaty (the “Treaty”), we are not treated as a PFIC in the year the dividend is paid or in the preceding year and certain holding period and other requirements are met. U.S. Treasury Department guidance indicates that shares listed on Nasdaq (such as the Class A Ordinary Shares)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U.S. Holders should consult their tax advisors regarding the availability of such lower rate for any dividends paid with respect to Class A Ordinary Shares.</w:t>
      </w:r>
    </w:p>
    <w:p>
      <w:pPr>
        <w:spacing w:after="0" w:line="21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Dividends paid on our Class A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Class A Ordinary Shares. A U.S. Holder that does not elect to claim a foreign tax credit for foreign taxes withheld may instead claim a U.S. federal income tax deduction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should consult their tax advisors regarding the availability of the foreign tax credit in light of their particular circumstances.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Ordinary Shares and Warrants</w:t>
      </w:r>
    </w:p>
    <w:p>
      <w:pPr>
        <w:spacing w:after="0" w:line="25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Subject to the PFIC rules described below under “—Passive Foreign Investment Company Status,” a U.S. Holder will generally recognize capital gain or loss on the sale or other taxable disposition of the Class A Ordinary Shares or Warrants in an amount equal to the difference between the amount realized on the disposition and such U.S. Holder’s adjusted tax basis in such Class A Ordinary Shares or Warrants. Any such capital gain or loss generally will be long-term capital gain or loss if the U.S. Holder’s holding period for such Class A Ordinary Shares or Warrants exceeds one year. Long-term capital gain realized by a non-corporate U.S. Holder is currently eligible for reduced rates of taxation. The deduction of capital losses is subject to limitations.</w:t>
      </w:r>
    </w:p>
    <w:p>
      <w:pPr>
        <w:spacing w:after="0" w:line="19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described in “Item 5. Operating and Financial Review and Prospects—A. Operating Results—Taxation—Mainland China,” if we are deemed to be a mainland China resident enterprise under the PRC Enterprise Income Tax Law, gains from the disposition of the Class A Ordinary Shares or Warrants may be subject to PRC income tax and will generally be U.S.-source, which may limit a U.S. Holder’s ability to claim a U.S. foreign tax credit with respect to any such PRC income tax. If a U.S. Holder is eligible for the benefits of the Treaty, such holder may be able to elect to treat such gain as mainland China source income under the Treaty. Pursuant to U.S. Treasury regulations, however, if a U.S. Holder is not eligible for the benefits of the Treaty or does not elect to apply the Treaty, then such holder may not be able to claim a U.S. foreign tax credit for any mainland China tax imposed on the disposition of the Class A Ordinary Shares or Warrants. The rules regarding foreign tax credits and deduction of foreign taxes are complex. U.S. Holders should consult</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their tax advisors regarding the availability of a U.S. foreign tax credit or deduction in light of their particular circumstances, including their eligibility for benefits under the Treaty, and the potential impact of the U.S. Treasury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Lapse or Redemption of a Warrant</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PFIC rules described below under “—Passive Foreign Investment Company Status” and except as discussed below with respect to the cashless exercise of a warrant, a U.S. Holder will generally not recognize gain or loss upon the acquisition of a Class A Ordinary Share pursuant to the exercise of a Warrant for cash. A U.S. Holder’s tax basis in a Class A Ordinary Share received upon exercise of the Warrant will generally be an amount equal to the sum of the U.S. Holder’s tax basis in the exercised Warrant and the exercise price. The U.S. Holder’s holding period for a Class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will generally recognize a capital loss equal to such holder’s tax basis in the Warrant.</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either tax-free situation, a U.S. Holder’s tax basis in the Class A Ordinary Shares received would generally equal the U.S. Holder’s tax basis in the Warrants. If the cashless exercise is not treated as a realization event, it is unclear whether a U.S. Holder’s holding period for the Class A Ordinary Share will commence on the date of exercise of the warrant or the day following the date of exercise of the warrant. If the cashless exercise is treated as a recapitalization, the holding period of the Class A Ordinary Shares would include the holding period of the warrants.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a number of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Warrants. In this case, a U.S. Holder’s tax basis in the Class A Ordinary Shares received would equal the U.S. Holder’s tax basis in the Warrants exercised plus (or minus) the gain (or loss) recognized with respect to the surrendered warrants. It is unclear whether a U.S. Holder’s holding period for the Class A Ordinary Shares would commence on the date of exercise of the warrant or the day following the date of exercise of the warrant.</w:t>
      </w:r>
    </w:p>
    <w:p>
      <w:pPr>
        <w:spacing w:after="0" w:line="21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Subject to the PFIC rules described below, if we redeem warrants for cash or purchase warrants in an open market transaction, such redemption or purchase will generally be treated as a taxable disposition to the U.S. Holder, taxed as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4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Class A Ordinary Shares for which the Warrant may be exercised or to the exercise price of the warrant in certain events, as discussed in the section of this annual report captioned “Memorandum and Articles of Association— Warrants—Public Warrants.” An adjustment that has the effect of preventing dilution generally is not taxable. The U.S. Holders of the Warrants would, however, be treated as receiving a constructive distribution from us if, for example, the adjustment increases such U.S. Holders’ proportionate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interests in our assets or earnings and profits (e.g. through an increase in the number of Class A Ordinary Shares that would be obtained upon exercise or through a decrease to the exercise price of a Warrant) as a result of a distribution of cash or other property to the holders of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Warrants to the extent that such distribution is treated as a dividend.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is passive income or (ii) at least 50% of its assets in a taxable year (ordinarily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we will be treated as owning a proportionate share of the assets and earning a proportionate share of the income of any other corporation if we own, directly, indirectly or constructively, 25% or more (by value) of its stock.</w:t>
      </w:r>
    </w:p>
    <w:p>
      <w:pPr>
        <w:spacing w:after="0" w:line="21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the composition of our income and assets, including goodwill and other unbooked intangibles, we do not believe we were a PFIC for our taxable year ended December 31, 2025 and we do not presently expect to be a PFIC for the current taxable year or the foreseeable future. However, PFIC status is a factual determination that must be made annually at the close of each taxable year on the basis of the composition of our income and assets and our subsidiaries’ income and assets and, thus, is subject to change. Accordingly, there can be no assurance that we or any of our subsidiaries will not be treated as a PFIC for any taxable year.</w:t>
      </w:r>
    </w:p>
    <w:p>
      <w:pPr>
        <w:spacing w:after="0" w:line="21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Holder of Class A Ordinary Shares or Warrants and, in the case of Class A Ordinary Shares, the U.S. Holder did not make an applicable purging election, or a mark-to-market election, such U.S. Holder would generally be subject to special and adverse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58" w:lineRule="exact"/>
        <w:rPr>
          <w:sz w:val="20"/>
          <w:szCs w:val="20"/>
          <w:color w:val="auto"/>
        </w:rPr>
      </w:pPr>
    </w:p>
    <w:p>
      <w:pPr>
        <w:ind w:left="660" w:right="280" w:hanging="328"/>
        <w:spacing w:after="0" w:line="234" w:lineRule="auto"/>
        <w:tabs>
          <w:tab w:leader="none" w:pos="655" w:val="left"/>
        </w:tabs>
        <w:numPr>
          <w:ilvl w:val="0"/>
          <w:numId w:val="50"/>
        </w:numPr>
        <w:rPr>
          <w:rFonts w:ascii="Arial" w:cs="Arial" w:eastAsia="Arial" w:hAnsi="Arial"/>
          <w:sz w:val="22"/>
          <w:szCs w:val="22"/>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Warrants, as applicable;</w:t>
      </w:r>
    </w:p>
    <w:p>
      <w:pPr>
        <w:spacing w:after="0" w:line="24" w:lineRule="exact"/>
        <w:rPr>
          <w:rFonts w:ascii="Arial" w:cs="Arial" w:eastAsia="Arial" w:hAnsi="Arial"/>
          <w:sz w:val="22"/>
          <w:szCs w:val="22"/>
          <w:color w:val="auto"/>
        </w:rPr>
      </w:pPr>
    </w:p>
    <w:p>
      <w:pPr>
        <w:ind w:left="660" w:right="180" w:hanging="328"/>
        <w:spacing w:after="0" w:line="239" w:lineRule="auto"/>
        <w:tabs>
          <w:tab w:leader="none" w:pos="655" w:val="left"/>
        </w:tabs>
        <w:numPr>
          <w:ilvl w:val="0"/>
          <w:numId w:val="50"/>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during the U.S. Holder’s holding period before the first day of our first taxable year in which we were a PFIC, will be taxed as ordinary income;</w:t>
      </w:r>
    </w:p>
    <w:p>
      <w:pPr>
        <w:spacing w:after="0" w:line="24" w:lineRule="exact"/>
        <w:rPr>
          <w:rFonts w:ascii="Arial" w:cs="Arial" w:eastAsia="Arial" w:hAnsi="Arial"/>
          <w:sz w:val="22"/>
          <w:szCs w:val="22"/>
          <w:color w:val="auto"/>
        </w:rPr>
      </w:pPr>
    </w:p>
    <w:p>
      <w:pPr>
        <w:ind w:left="660" w:right="180" w:hanging="328"/>
        <w:spacing w:after="0" w:line="248" w:lineRule="auto"/>
        <w:tabs>
          <w:tab w:leader="none" w:pos="655" w:val="left"/>
        </w:tabs>
        <w:numPr>
          <w:ilvl w:val="0"/>
          <w:numId w:val="50"/>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allocated to other taxable years (or portions thereof) during the U.S. Holder’s holding period will be subject to` tax at the highest tax rate in effect and applicable to the U.S. Holder for that year, and an additional tax equal to the interest charge generally applicable to underpayments of tax will be imposed on the U.S. Holder with respect to the tax attributable to each such other taxable year</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U.S. Holder will generally be deemed to own a portion of the shares of such lower-tier PFIC, and could incur liability for the deferred tax and interest charge described above with respect to distributions made by such lower-tier subsidiary or gains recognized by us on the disposition of all or part of the interests in such lower-tier PFIC or the U.S. Holders otherwise were deemed to have disposed of an interest in the lower-tier PFIC. U.S. Holders should consult their tax advisors regarding the tax issues raised by lower-tier PFICs.</w:t>
      </w:r>
    </w:p>
    <w:p>
      <w:pPr>
        <w:spacing w:after="0" w:line="21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If we are a PFIC and the Class A Ordinary Shares constitute “marketable stock,” a U.S. Holder may avoid the adverse PFIC tax consequences discussed above if such U.S. Holder, at the close of the first taxable year in which it holds (or is deemed to hold) the Class A Ordinary Shares, makes a mark-to-market election with respect to such shares for such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taxable year. Such U.S. Holder will generally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21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Nasdaq (where the Class A Ordinary Shares are listed), or on a foreign exchange or market that the IRS determines has rules sufficient to ensure that the market price represents a legitimate and sound fair market value. We anticipate that the Class A Ordinary Shares should qualify as being regularly traded, but no assurances may be given in this regard. Moreover, a mark-to-market election made with respect to Class A Ordinary Shares would not apply to a U.S. Holder’s indirect interest in any lower tier PFICs in which we own shares. U.S. Holders should consult their tax advisors regarding the availability and tax consequences of a mark-to-market election with respect to the Class A Ordinary Shares in light of their particular circumstances.</w:t>
      </w:r>
    </w:p>
    <w:p>
      <w:pPr>
        <w:spacing w:after="0" w:line="21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a qualified electing fund election which, if available, would result in tax treatment different from (and generally less adverse than) the general tax treatment for PFICs described above.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be required to file an IRS Form 8621 and such other information as may be prescribed by the U.S. Treasury Department. Failure to comply with applicable reporting requirements will extend the statute of limitations until such required information is furnished to the IRS.</w:t>
      </w:r>
    </w:p>
    <w:p>
      <w:pPr>
        <w:spacing w:after="0" w:line="2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PFIC rules are complex. U.S. Holders should consult their tax advisors concerning the U.S. federal income tax considerations with respect to holding and disposing of Securities if we were, are, or become a PFIC, including with respect to the ability to make a mark-to-market election and the applicable annual PFIC filing requirements.</w:t>
      </w:r>
    </w:p>
    <w:p>
      <w:pPr>
        <w:spacing w:after="0" w:line="172" w:lineRule="exact"/>
        <w:rPr>
          <w:sz w:val="20"/>
          <w:szCs w:val="20"/>
          <w:color w:val="auto"/>
        </w:rPr>
      </w:pPr>
    </w:p>
    <w:p>
      <w:pPr>
        <w:ind w:left="660" w:right="8660" w:hanging="652"/>
        <w:spacing w:after="0" w:line="500" w:lineRule="auto"/>
        <w:tabs>
          <w:tab w:leader="none" w:pos="31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and are required to file reports and other information with the SEC. Specifically, we are required to file annually a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and officers and directors are exempt from the short-swing profit recovery provisions (and principal shareholders are additionally exempt from the reporting provisions) contained in Section 16 of the Exchange Act.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our website at https://ir.ecarxgroup.com. In addition, we will provide hardcopies of our annual report free of charge to shareholders upon request.</w:t>
      </w:r>
    </w:p>
    <w:p>
      <w:pPr>
        <w:spacing w:after="0" w:line="158" w:lineRule="exact"/>
        <w:rPr>
          <w:sz w:val="20"/>
          <w:szCs w:val="20"/>
          <w:color w:val="auto"/>
        </w:rPr>
      </w:pPr>
    </w:p>
    <w:p>
      <w:pPr>
        <w:ind w:left="660" w:right="9080" w:hanging="652"/>
        <w:spacing w:after="0" w:line="582" w:lineRule="auto"/>
        <w:tabs>
          <w:tab w:leader="none" w:pos="329"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primarily relates to decrease in market interest rates as most of our liabilities to credit institutions, amounts due to related parties and convertible notes carry a fixed interest rate. However, due to the tenure of these borrowings, interest payment terms and the instrument features, we are not exposed to material interest rate risk arising therefrom and interest income generated by excess cash, which is mostly held in interest-bearing bank deposits, bank notes, and wealth management products. Due to the short-term nature of our borrowings and investments, we have not been exposed to material risks due to changes in market interest rates.</w:t>
      </w:r>
    </w:p>
    <w:p>
      <w:pPr>
        <w:spacing w:after="0" w:line="19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closely monitor the effects of changes in the interest rates on our interest rate risk exposures, but we have not used any derivative financial instruments to manage our interest risk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revenue and expenses of our entities in mainland China are generally denominated in Renminbi and their assets and liabilities are denominated in Renminbi. Our international revenues and expenses are denominated in foreign currencies and expose us to the risk of fluctuations in foreign currency exchange rates against the Renminbi. A significant portion of our short-term investments are denominated in U.S. dollars, and fluctuations in exchange rates between U.S. dollars and Renminbi may result in foreign exchange gains or losses. Currently, we do not have any hedging transactions to reduce our exposure to foreign currency exchange risk. In addition, the value of your investment in our securities will be affected by the exchange rate between the U.S. dollar and Renminbi because the value of our business is effectively denominated in Renminbi, while our securities will be traded in U.S. dollars.</w:t>
      </w:r>
    </w:p>
    <w:p>
      <w:pPr>
        <w:spacing w:after="0" w:line="21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Renminbi is not freely convertible into foreign currencies. Remittances of foreign currencies into mainland China or remittances of Renminbi out of mainland China as well as exchange between Renminbi and foreign currencies require approval by foreign exchange administrative authorities with certain supporting documentation. The State Administration for Foreign Exchange, under the authority of the People’s Bank of China, controls the conversion of Renminbi into other currencies.</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w:t>
      </w:r>
    </w:p>
    <w:p>
      <w:pPr>
        <w:spacing w:after="0" w:line="203"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for other business purposes, appreciation of the U.S. dollars against the Renminbi would have a negative effect on the U.S. dollar amounts available to us.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restricted cash and short-term investments of RMB548.3 million, and U.S. dollar-denominated cash and cash equivalents, restricted cash and short-term investments of US$34.4 million. Assuming we had converted RMB548.3 million into U.S. dollars at the exchange rate of RMB6.9801 for US$1.00 as of December 31, 2025, our U.S. dollar cash balance would have been US$112.9 million. If the RMB had depreciated by 10% against the U.S. dollar, our U.S. dollar cash balance would have been US$105.8 million instead. Assuming we had converted US$34.4 million into RMB at the exchange rate of RMB6.9801 for US$1.00 as of December 31, 2025, our RMB cash balance would have been RMB788.2 million. If the RMB had depreciated by 10% against the U.S. dollar, our RMB cash balance would have been RMB812.2 million instead.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ind w:left="660" w:right="9460" w:hanging="652"/>
        <w:spacing w:after="0" w:line="530" w:lineRule="auto"/>
        <w:tabs>
          <w:tab w:leader="none" w:pos="33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9280" w:hanging="652"/>
        <w:spacing w:after="0" w:line="530" w:lineRule="auto"/>
        <w:tabs>
          <w:tab w:leader="none" w:pos="32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9460" w:hanging="652"/>
        <w:spacing w:after="0" w:line="530" w:lineRule="auto"/>
        <w:tabs>
          <w:tab w:leader="none" w:pos="33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660" w:right="8680" w:hanging="652"/>
        <w:spacing w:after="0" w:line="500" w:lineRule="auto"/>
        <w:tabs>
          <w:tab w:leader="none" w:pos="33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These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only provide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2025.</w:t>
      </w:r>
    </w:p>
    <w:p>
      <w:pPr>
        <w:spacing w:after="0" w:line="198"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12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our management has concluded that the Company’s internal control over financial reporting was effective as of December 31, 2025.</w:t>
      </w:r>
    </w:p>
    <w:p>
      <w:pPr>
        <w:spacing w:after="0" w:line="23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As a company with less than US$1.235 billion in revenues for fiscal year of 2025 and based on our review of other applicable criteria,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For Hubei Dongjun and HF Tech Europe AB which had been acquired in 2024 and were subsequently included in the scope of our internal control over financial reporting in 2025, we conducted a thorough assessment of its financial reporting processes. As of December 31, 2025, management has determined that our internal control over financial reporting for Hubei Dongjun and HF Tech Europe AB was effective.</w:t>
      </w:r>
    </w:p>
    <w:p>
      <w:pPr>
        <w:spacing w:after="0" w:line="18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Other than the addition of Hubei Dongjun and HF Tech Europe AB, there were no changes in our internal control over financial reporting that occurred during the period covered by this annual report that have materially affected, or are reasonably likely to materially affect, our internal control over financial reporting. However, we remain steadfast in our commitment to continuous improvement, and we remain vigilant and proactive in identifying opportunities to further refine and optimize our internal control systems. This ongoing process of enhancement ensures that our internal control not only meets current regulatory requirements but also adapts to evolving business conditions and industry good practices, thereby providing robust support for the accuracy of our financial reporting and operational efficiency.</w:t>
      </w:r>
    </w:p>
    <w:p>
      <w:pPr>
        <w:spacing w:after="0" w:line="19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Grace Hui Tang, an independent director (under the standards set forth in Nasdaq Stock Market Rule 5605(a)(2) and Rule 10A-3 under the Exchange Act) and chairman of our audit committee, is an audit committee financial expert.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employees and advisors. We have posted a copy of our code of business conduct and ethics on our website at https://ir.ecarxgroup.com/governance/governance-documents.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KPMG Huazhen LLP, our principal external auditors, and KPMG member firms for the periods indicated.</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25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 of US$)</w:t>
            </w:r>
          </w:p>
        </w:tc>
        <w:tc>
          <w:tcPr>
            <w:tcW w:w="54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312"/>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5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ind w:left="340" w:right="380" w:hanging="332"/>
        <w:spacing w:after="0" w:line="282" w:lineRule="auto"/>
        <w:tabs>
          <w:tab w:leader="none" w:pos="3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the aggregate fees billed for each of the fiscal years listed for professional services rendered by our principal accountant for the audit of our annual consolidated financial statements and statutory financial statements of certain subsidiaries.</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represents fees for non-attest services.</w:t>
      </w:r>
    </w:p>
    <w:p>
      <w:pPr>
        <w:spacing w:after="0" w:line="24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Audit Committee pre-approves all audit and non-audit services provided by the independent registered public accounting firm prior to the engagement with respect to such services. The Chairperson of the Audit Committee has been delegated the authority by such committee to pre-approve audit and non-audit services by the independent registered public accounting firm. Such pre-approvals should be presented to the entire Audit Committee at the next Audit Committee meeting.</w:t>
      </w:r>
    </w:p>
    <w:p>
      <w:pPr>
        <w:spacing w:after="0" w:line="19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16"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December 2024, our board of directors authorized a share repurchase program under which we may repurchase up to US$20,000,000 of our Ordinary Shares until the close of business on September 30, 2025, U.S. Eastern Time. The program was subsequently extended up to March 31, 2026 with an increased aggregate repurchase limit of US $40,000,000. The table below is a summary of the shares repurchased by us under this share repurchase program during the year ended December 31, 2025. All shares were repurchased in the open market.</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1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420" w:type="dxa"/>
            <w:vAlign w:val="bottom"/>
          </w:tcPr>
          <w:p>
            <w:pPr>
              <w:ind w:left="66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214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2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Value of Ordinary Shares that May</w:t>
            </w: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2140" w:type="dxa"/>
            <w:vAlign w:val="bottom"/>
          </w:tcPr>
          <w:p>
            <w:pPr>
              <w:jc w:val="right"/>
              <w:ind w:right="37"/>
              <w:spacing w:after="0" w:line="97" w:lineRule="exact"/>
              <w:rPr>
                <w:sz w:val="20"/>
                <w:szCs w:val="20"/>
                <w:color w:val="auto"/>
              </w:rPr>
            </w:pPr>
            <w:r>
              <w:rPr>
                <w:rFonts w:ascii="Times New Roman" w:cs="Times New Roman" w:eastAsia="Times New Roman" w:hAnsi="Times New Roman"/>
                <w:sz w:val="11"/>
                <w:szCs w:val="11"/>
                <w:b w:val="1"/>
                <w:bCs w:val="1"/>
                <w:color w:val="auto"/>
              </w:rPr>
              <w:t>Ordinary Shares Purchased</w:t>
            </w:r>
          </w:p>
        </w:tc>
        <w:tc>
          <w:tcPr>
            <w:tcW w:w="1740" w:type="dxa"/>
            <w:vAlign w:val="bottom"/>
          </w:tcPr>
          <w:p>
            <w:pPr>
              <w:jc w:val="right"/>
              <w:ind w:right="37"/>
              <w:spacing w:after="0" w:line="97" w:lineRule="exact"/>
              <w:rPr>
                <w:sz w:val="20"/>
                <w:szCs w:val="20"/>
                <w:color w:val="auto"/>
              </w:rPr>
            </w:pPr>
            <w:r>
              <w:rPr>
                <w:rFonts w:ascii="Times New Roman" w:cs="Times New Roman" w:eastAsia="Times New Roman" w:hAnsi="Times New Roman"/>
                <w:sz w:val="11"/>
                <w:szCs w:val="11"/>
                <w:b w:val="1"/>
                <w:bCs w:val="1"/>
                <w:color w:val="auto"/>
              </w:rPr>
              <w:t>Paid Per Ordinary Share</w:t>
            </w:r>
          </w:p>
        </w:tc>
        <w:tc>
          <w:tcPr>
            <w:tcW w:w="18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as Part of the Publicly</w:t>
            </w:r>
          </w:p>
        </w:tc>
        <w:tc>
          <w:tcPr>
            <w:tcW w:w="226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January 2025</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1,400,075</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1,903,075</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$36,077,108</w:t>
            </w:r>
          </w:p>
        </w:tc>
        <w:tc>
          <w:tcPr>
            <w:tcW w:w="0" w:type="dxa"/>
            <w:vAlign w:val="bottom"/>
          </w:tcPr>
          <w:p>
            <w:pPr>
              <w:spacing w:after="0"/>
              <w:rPr>
                <w:sz w:val="1"/>
                <w:szCs w:val="1"/>
                <w:color w:val="auto"/>
              </w:rPr>
            </w:pPr>
          </w:p>
        </w:tc>
      </w:tr>
      <w:tr>
        <w:trPr>
          <w:trHeight w:val="234"/>
        </w:trPr>
        <w:tc>
          <w:tcPr>
            <w:tcW w:w="242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March 2025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2,054,972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3,958,047</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$30,715,312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April 2025</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15,660,239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19,618,286</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$13,831,469</w:t>
            </w:r>
          </w:p>
        </w:tc>
        <w:tc>
          <w:tcPr>
            <w:tcW w:w="0" w:type="dxa"/>
            <w:vAlign w:val="bottom"/>
          </w:tcPr>
          <w:p>
            <w:pPr>
              <w:spacing w:after="0"/>
              <w:rPr>
                <w:sz w:val="1"/>
                <w:szCs w:val="1"/>
                <w:color w:val="auto"/>
              </w:rPr>
            </w:pPr>
          </w:p>
        </w:tc>
      </w:tr>
      <w:tr>
        <w:trPr>
          <w:trHeight w:val="234"/>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8"/>
                <w:szCs w:val="18"/>
                <w:color w:val="auto"/>
              </w:rPr>
              <w:t>May 2025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1,782,465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21,400,751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$10,811,138</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20,897,751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US$1.35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21,400,751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$10,811,138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5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As a Cayman Islands exempted company listed on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As a result,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shareholders may be afforded less protection than they would otherwise enjoy under the Nasdaq Stock Market corporate governance listing standards applicable to U.S. domestic issuers. See “Item 3. Key Information—D. Risk Factors—Risks Relating to Our Securities—We qualify as a foreign private issuer within the meaning of the rules under the Exchange Act, and as such we are exempt from certain provisions applicable to United States domestic public companies.” We followed home country practice with respect to the requirements that (i) a majority of our board of directors consist of independent directors, and (ii) we hold an annual general meeting of shareholders.</w:t>
      </w:r>
    </w:p>
    <w:p>
      <w:pPr>
        <w:spacing w:after="0" w:line="19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As a result, you will not have the same protection afforded to shareholders of companies that are subject to these corporate governance requirements.</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5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Nasdaq.</w:t>
      </w:r>
    </w:p>
    <w:p>
      <w:pPr>
        <w:spacing w:after="0" w:line="21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4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cyber threats. This comprehensive system spans multiple security domains, including network, host and applications. It integrates a range of security capabilities, such as threat defense, continuous monitoring, in-depth analysis, rapid response, as well as endpoint protection. Our approach to managing cybersecurity risks and safeguarding sensitive data is multi-faceted, involving technological safeguards, procedural protocols, a rigorous program of surveillance on our corporate network, continuous testing of aspects of our security posture internally and with third-party consultants or collaborators, a solid incident response framework and regular cybersecurity training sessions for our employees. Our IT department and information security department is actively engaged in continuous monitoring of the performance of our infrastructure to ensure prompt identification and response to potential issues, including potential cybersecurity threats.</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cybersecurity committee of our board of directors is responsible for overseeing our cybersecurity risk management and is informed on risks from cybersecurity threats. Our cybersecurity committee reviews, approves and maintains oversight of the disclosure (i) on Form 6-K for material cybersecurity incidents (if any) and (ii) related to cybersecurity matters in the periodic reports (including annual report on Form 20-F) of our company.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the management level, our cybersecurity officer, compliance officers and chief information officer (the “Cybersecurity Risk Management Officers”), are responsible for assessing, identifying and managing material risks from cybersecurity threats to our company and monitoring the prevention, detection, mitigation and remediation of material cybersecurity incidents. Our Cybersecurity Risk Management Officers report to our board of directors and cybersecurity committee (i) on a quarterly basis regarding their assessment, identification and management on material risks from cybersecurity threats happened in the ordinary course of our business operations and (ii) on disclosure concerning cybersecurity matters in our Form 6-K for material cybersecurity incidents (if any) and our annual report on Form 20-F.</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 cybersecurity incident occurs, our Cybersecurity Risk Management Officers will immediately organize relevant personnel for internal assessment and, depending on the situation, seek the opinions of external experts and legal advisors. If it is determined that the incident could potentially be a material cybersecurity event, our Cybersecurity Risk Management Officers will promptly report the incident and assessment results to our cybersecurity committee and our cybersecurity committee will decide on the response measures and whether any disclosure is necessary. If such disclosure is determined to be necessary, our Cybersecurity Risk Management Officers shall promptly prepare disclosure material for review and approval by our cybersecurity committee before it is disseminated to the public.</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ECARX Holdings Inc. and its subsidiaries are included at the end of this annual report.</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gridSpan w:val="2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52"/>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Seventh Amended and Restated Memorandum and Articles of Association of ECARX Holdings Inc. (incorporated by reference to</w:t>
              </w:r>
            </w:hyperlink>
          </w:p>
        </w:tc>
        <w:tc>
          <w:tcPr>
            <w:tcW w:w="24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Exhibit 4.1 to the Registration Statement Form S-8 (File No. 333-269756) filed with the Securities and Exchange Commission on</w:t>
              </w:r>
            </w:hyperlink>
          </w:p>
        </w:tc>
        <w:tc>
          <w:tcPr>
            <w:tcW w:w="30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February 14, 2023)</w:t>
              </w:r>
            </w:hyperlink>
          </w:p>
        </w:tc>
        <w:tc>
          <w:tcPr>
            <w:tcW w:w="8260" w:type="dxa"/>
            <w:vAlign w:val="bottom"/>
            <w:gridSpan w:val="27"/>
          </w:tcPr>
          <w:p>
            <w:pPr>
              <w:spacing w:after="0"/>
              <w:rPr>
                <w:sz w:val="17"/>
                <w:szCs w:val="17"/>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Warrant Agreement, dated February 4, 2021, between COVA Acquisition Corp. and Continental Stock Transfer &amp; Trust Company</w:t>
              </w:r>
            </w:hyperlink>
          </w:p>
        </w:tc>
        <w:tc>
          <w:tcPr>
            <w:tcW w:w="260" w:type="dxa"/>
            <w:vAlign w:val="bottom"/>
            <w:gridSpan w:val="8"/>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(incorporated by reference to Exhibit 4.4 to the Registration Statement Form F-4 (File No. 333-267813) filed with the Securities and</w:t>
              </w:r>
            </w:hyperlink>
          </w:p>
        </w:tc>
        <w:tc>
          <w:tcPr>
            <w:tcW w:w="1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Exchange Commission on October 11, 2022)</w:t>
              </w:r>
            </w:hyperlink>
          </w:p>
        </w:tc>
        <w:tc>
          <w:tcPr>
            <w:tcW w:w="6400" w:type="dxa"/>
            <w:vAlign w:val="bottom"/>
            <w:gridSpan w:val="24"/>
          </w:tcPr>
          <w:p>
            <w:pPr>
              <w:spacing w:after="0"/>
              <w:rPr>
                <w:sz w:val="17"/>
                <w:szCs w:val="17"/>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Specimen Ordinary Share Certificate of ECARX Holdings Inc. (incorporated by reference to Exhibit 4.5 to the Registration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Statement Form F-4 (File No. 333-267813) filed with the Securities and Exchange Commission on November 14, 2022)</w:t>
              </w:r>
            </w:hyperlink>
          </w:p>
        </w:tc>
        <w:tc>
          <w:tcPr>
            <w:tcW w:w="760" w:type="dxa"/>
            <w:vAlign w:val="bottom"/>
            <w:gridSpan w:val="1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Specimen Warrant Certificate of ECARX Holdings Inc. (incorporated by reference to Exhibit 4.6 to the Registration Statement Form</w:t>
              </w:r>
            </w:hyperlink>
          </w:p>
        </w:tc>
        <w:tc>
          <w:tcPr>
            <w:tcW w:w="80" w:type="dxa"/>
            <w:vAlign w:val="bottom"/>
            <w:gridSpan w:val="2"/>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28"/>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F-4 (File No. 333-267813) filed with the Securities and Exchange Commission on November 14, 2022)</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Assignment, Assumption and Amendment Agreement, dated December 20, 2022, by and among COVA Acquisition Corp., ECARX</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Holdings Inc., and Continental Stock Transfer &amp; Trust Company (incorporated by reference to Exhibit 2.4 to the annual report on</w:t>
              </w:r>
            </w:hyperlink>
          </w:p>
        </w:tc>
        <w:tc>
          <w:tcPr>
            <w:tcW w:w="180" w:type="dxa"/>
            <w:vAlign w:val="bottom"/>
            <w:tcBorders>
              <w:top w:val="single" w:sz="8" w:color="0000FF"/>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28"/>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20-F (File No. 001-41576) filed with the Securities and Exchange Commission on April 24, 2023)</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Registration and Shareholder Rights Agreement dated February 4, 2021, by and among COVA Acquisition Corp., COVA Acquisition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Sponsor LLC and certain shareholders of COVA Acquisition Corp. (incorporated by reference to Exhibit 4.8 to the Registration</w:t>
              </w:r>
            </w:hyperlink>
          </w:p>
        </w:tc>
        <w:tc>
          <w:tcPr>
            <w:tcW w:w="420" w:type="dxa"/>
            <w:vAlign w:val="bottom"/>
            <w:tcBorders>
              <w:top w:val="single" w:sz="8" w:color="0000FF"/>
            </w:tcBorders>
            <w:gridSpan w:val="1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28"/>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Statement Form F-4 (File No. 333-267813) filed with the Securities and Exchange Commission on November 14, 2022)</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Registration Rights Agreement, dated December 20, 2022, by and among ECARX Holdings Inc., COVA Acquisition Sponsor LLC</w:t>
              </w:r>
            </w:hyperlink>
          </w:p>
        </w:tc>
        <w:tc>
          <w:tcPr>
            <w:tcW w:w="200" w:type="dxa"/>
            <w:vAlign w:val="bottom"/>
            <w:gridSpan w:val="6"/>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and certain shareholders of ECARX Holdings Inc.</w:t>
              </w:r>
            </w:hyperlink>
          </w:p>
        </w:tc>
        <w:tc>
          <w:tcPr>
            <w:tcW w:w="6020" w:type="dxa"/>
            <w:vAlign w:val="bottom"/>
            <w:gridSpan w:val="23"/>
          </w:tcPr>
          <w:p>
            <w:pPr>
              <w:spacing w:after="0"/>
              <w:rPr>
                <w:sz w:val="17"/>
                <w:szCs w:val="17"/>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Description of Securities</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Indenture, dated October 30, 2025, by and between ECARX Holdings Inc. and U.S. Bank, National Association (incorporated by</w:t>
              </w:r>
            </w:hyperlink>
          </w:p>
        </w:tc>
        <w:tc>
          <w:tcPr>
            <w:tcW w:w="340" w:type="dxa"/>
            <w:vAlign w:val="bottom"/>
            <w:gridSpan w:val="12"/>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2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4.1 to the current report on Form 6-K (File No. 001-41576) furnished to the Securities and Exchange</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Commission on October 30, 2025)</w:t>
              </w:r>
            </w:hyperlink>
          </w:p>
        </w:tc>
        <w:tc>
          <w:tcPr>
            <w:tcW w:w="92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Supplemental Indenture, dated October 30, 2025, by and between ECARX Holdings Inc. and U.S. Bank, National Association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4.2 to the current report on Form 6-K (File No. 001-41576) furnished to the Securities and</w:t>
              </w:r>
            </w:hyperlink>
          </w:p>
        </w:tc>
        <w:tc>
          <w:tcPr>
            <w:tcW w:w="18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Exchange Commission on October 30, 2025)</w:t>
              </w:r>
            </w:hyperlink>
          </w:p>
        </w:tc>
        <w:tc>
          <w:tcPr>
            <w:tcW w:w="440" w:type="dxa"/>
            <w:vAlign w:val="bottom"/>
            <w:gridSpan w:val="14"/>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Agreement and Plan of Merger, dated as of May 26, 2022, by and among COVA Acquisition Corp., ECARX Holdings Inc., Ecarx</w:t>
              </w:r>
            </w:hyperlink>
          </w:p>
        </w:tc>
        <w:tc>
          <w:tcPr>
            <w:tcW w:w="280" w:type="dxa"/>
            <w:vAlign w:val="bottom"/>
            <w:gridSpan w:val="9"/>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Temp Limited, and Ecarx&amp;Co Limited (incorporated by reference to Exhibit 2.1 to the Registration Statement Form F-4 (File No.</w:t>
              </w:r>
            </w:hyperlink>
          </w:p>
        </w:tc>
        <w:tc>
          <w:tcPr>
            <w:tcW w:w="30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333-267813) filed with the Securities and Exchange Commission on November 14, 2022)</w:t>
              </w:r>
            </w:hyperlink>
          </w:p>
        </w:tc>
        <w:tc>
          <w:tcPr>
            <w:tcW w:w="3180" w:type="dxa"/>
            <w:vAlign w:val="bottom"/>
            <w:gridSpan w:val="21"/>
          </w:tcPr>
          <w:p>
            <w:pPr>
              <w:spacing w:after="0"/>
              <w:rPr>
                <w:sz w:val="17"/>
                <w:szCs w:val="17"/>
                <w:color w:val="auto"/>
              </w:rPr>
            </w:pPr>
          </w:p>
        </w:tc>
      </w:tr>
      <w:tr>
        <w:trPr>
          <w:trHeight w:val="250"/>
        </w:trPr>
        <w:tc>
          <w:tcPr>
            <w:tcW w:w="14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Investment Management Trust Agreement, dated February 4, 2021, by and between Continental Stock &amp; Trust Company and COVA</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Acquisition Corp. (incorporated by reference to Exhibit 10.1 to the Registration Statement Form F-4 (File No. 333-267813) filed</w:t>
              </w:r>
            </w:hyperlink>
          </w:p>
        </w:tc>
        <w:tc>
          <w:tcPr>
            <w:tcW w:w="1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with the Securities and Exchange Commission on November 14, 2022)</w:t>
              </w:r>
            </w:hyperlink>
          </w:p>
        </w:tc>
        <w:tc>
          <w:tcPr>
            <w:tcW w:w="380" w:type="dxa"/>
            <w:vAlign w:val="bottom"/>
            <w:gridSpan w:val="13"/>
          </w:tcPr>
          <w:p>
            <w:pPr>
              <w:spacing w:after="0"/>
              <w:rPr>
                <w:sz w:val="17"/>
                <w:szCs w:val="17"/>
                <w:color w:val="auto"/>
              </w:rPr>
            </w:pPr>
          </w:p>
        </w:tc>
      </w:tr>
      <w:tr>
        <w:trPr>
          <w:trHeight w:val="965"/>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FF"/>
            </w:tcBorders>
            <w:gridSpan w:val="6"/>
          </w:tcPr>
          <w:p>
            <w:pPr>
              <w:ind w:left="3900"/>
              <w:spacing w:after="0"/>
              <w:rPr>
                <w:sz w:val="20"/>
                <w:szCs w:val="20"/>
                <w:color w:val="auto"/>
              </w:rPr>
            </w:pPr>
            <w:r>
              <w:rPr>
                <w:rFonts w:ascii="Times New Roman" w:cs="Times New Roman" w:eastAsia="Times New Roman" w:hAnsi="Times New Roman"/>
                <w:sz w:val="18"/>
                <w:szCs w:val="18"/>
                <w:color w:val="auto"/>
              </w:rPr>
              <w:t>111</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87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Administrative Services Agreement, dated February 4, 2021 by and between COVA Acquisition Sponsor LLC and COVA</w:t>
              </w:r>
            </w:hyperlink>
          </w:p>
        </w:tc>
        <w:tc>
          <w:tcPr>
            <w:tcW w:w="8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Acquisition Corp. (incorporated by reference to Exhibit 10.2 to the Registration Statement Form F-4 (File No. 333-267813) filed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with the Securities and Exchange Commission on November 14, 2022)</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1"/>
                <w:szCs w:val="21"/>
                <w:color w:val="auto"/>
              </w:rPr>
            </w:pPr>
          </w:p>
        </w:tc>
        <w:tc>
          <w:tcPr>
            <w:tcW w:w="9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Letter Agreement, dated February 4, 2021, among COVA Acquisition Sponsor LLC, COVA Acquisition Corp. and officers and</w:t>
              </w:r>
            </w:hyperlink>
          </w:p>
        </w:tc>
        <w:tc>
          <w:tcPr>
            <w:tcW w:w="4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directors of COVA Acquisition Corp. (incorporated by reference to Exhibit 10.3 to the Registration Statement Form F-4 (File No.</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333-267813) filed with the Securities and Exchange Commission on November 14, 2022)</w:t>
              </w:r>
            </w:hyperlink>
          </w:p>
        </w:tc>
        <w:tc>
          <w:tcPr>
            <w:tcW w:w="3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Private Placement Warrants Purchase Agreement , dated February 4, 2021,between COVA Acquisition Corp. and COVA Acquisition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Sponsor LLC. (incorporated by reference to Exhibit 10.4 to the Registration Statement Form F-4 (File No. 333-267813)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Securities and Exchange Commission on November 14, 2022)</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Promissory Note between COVA Acquisition Corp. and COVA Acquisition Sponsor LLC, dated May 26, 2022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Exhibit 10.5 to the Registration Statement Form F-4 (File No. 333-267813) filed with the Securities and Exchange</w:t>
              </w:r>
            </w:hyperlink>
          </w:p>
        </w:tc>
        <w:tc>
          <w:tcPr>
            <w:tcW w:w="80" w:type="dxa"/>
            <w:vAlign w:val="bottom"/>
            <w:tcBorders>
              <w:top w:val="single" w:sz="8" w:color="0000FF"/>
            </w:tcBorders>
            <w:gridSpan w:val="2"/>
          </w:tcPr>
          <w:p>
            <w:pPr>
              <w:spacing w:after="0"/>
              <w:rPr>
                <w:sz w:val="17"/>
                <w:szCs w:val="17"/>
                <w:color w:val="auto"/>
              </w:rPr>
            </w:pPr>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Commission on November 14,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1"/>
                <w:szCs w:val="21"/>
                <w:color w:val="auto"/>
              </w:rPr>
            </w:pPr>
          </w:p>
        </w:tc>
        <w:tc>
          <w:tcPr>
            <w:tcW w:w="9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Strategic Investment Agreement, dated May 26, 2022 by and between ECARX Holdings Inc. and Luminar Technologies, Inc.</w:t>
              </w:r>
            </w:hyperlink>
          </w:p>
        </w:tc>
        <w:tc>
          <w:tcPr>
            <w:tcW w:w="6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(incorporated by reference to Exhibit 10.6 to the Registration Statement Form F-4 (File No. 333-267813) filed with the Securities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Exchange Commission on November 14, 2022)</w:t>
              </w:r>
            </w:hyperlink>
          </w:p>
        </w:tc>
        <w:tc>
          <w:tcPr>
            <w:tcW w:w="6200" w:type="dxa"/>
            <w:vAlign w:val="bottom"/>
            <w:tcBorders>
              <w:top w:val="single" w:sz="8" w:color="0000FF"/>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Strategic Investment Agreement, dated May 26, 2022 by and between ECARX Holdings Inc. and Geely Investment Holding Ltd.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(incorporated by reference to Exhibit 10.7 to the Registration Statement Form F-4 (File No. 333-267813) filed with the Securities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Exchange Commission on November 14, 2022)</w:t>
              </w:r>
            </w:hyperlink>
          </w:p>
        </w:tc>
        <w:tc>
          <w:tcPr>
            <w:tcW w:w="6200" w:type="dxa"/>
            <w:vAlign w:val="bottom"/>
            <w:tcBorders>
              <w:top w:val="single" w:sz="8" w:color="0000FF"/>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1"/>
                <w:szCs w:val="21"/>
                <w:color w:val="auto"/>
              </w:rPr>
            </w:pPr>
          </w:p>
        </w:tc>
        <w:tc>
          <w:tcPr>
            <w:tcW w:w="95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Sponsor Support Agreement and Deed, dated May 26, 2022 by and among ECARX Holdings Inc., COVA Acquisition Corp., COVA</w:t>
              </w:r>
            </w:hyperlink>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Acquisition Sponsor LLC and other parties named therein (incorporated by reference to Exhibit 10.8 to the Registration Statement</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F-4 (File No. 333-267813) filed with the Securities and Exchange Commission on November 14,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ECARX Shareholder Support Agreement and Deed, dated May 26, 2022, by and among ECARX Holdings Inc., COVA Acquisition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Corp., and other parties named therein (incorporated by reference to Exhibit 10.9 to the Registration Statement Form F-4 (File No.</w:t>
              </w:r>
            </w:hyperlink>
          </w:p>
        </w:tc>
        <w:tc>
          <w:tcPr>
            <w:tcW w:w="80" w:type="dxa"/>
            <w:vAlign w:val="bottom"/>
            <w:tcBorders>
              <w:top w:val="single" w:sz="8" w:color="0000FF"/>
            </w:tcBorders>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333-267813) filed with the Securities and Exchange Commission on November 14, 2022)</w:t>
              </w:r>
            </w:hyperlink>
          </w:p>
        </w:tc>
        <w:tc>
          <w:tcPr>
            <w:tcW w:w="3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8"/>
                <w:szCs w:val="18"/>
                <w:color w:val="auto"/>
              </w:rPr>
              <w:t>4.11</w:t>
            </w:r>
            <w:r>
              <w:rPr>
                <w:rFonts w:ascii="Times New Roman" w:cs="Times New Roman" w:eastAsia="Times New Roman" w:hAnsi="Times New Roman"/>
                <w:sz w:val="23"/>
                <w:szCs w:val="23"/>
                <w:color w:val="auto"/>
                <w:vertAlign w:val="superscript"/>
              </w:rPr>
              <w:t>†</w:t>
            </w:r>
          </w:p>
        </w:tc>
        <w:tc>
          <w:tcPr>
            <w:tcW w:w="95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ECARX Holdings Inc. 2019 Equity Incentive Plan (incorporated by reference to Exhibit 10.10 to the Registration Statement Form F-</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4 (File No. 333-267813) filed with the Securities and Exchange Commission on November 14, 2022)</w:t>
              </w:r>
            </w:hyperlink>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4.12</w:t>
            </w:r>
            <w:r>
              <w:rPr>
                <w:rFonts w:ascii="Times New Roman" w:cs="Times New Roman" w:eastAsia="Times New Roman" w:hAnsi="Times New Roman"/>
                <w:sz w:val="23"/>
                <w:szCs w:val="23"/>
                <w:color w:val="auto"/>
                <w:vertAlign w:val="superscript"/>
              </w:rPr>
              <w:t>†</w:t>
            </w:r>
          </w:p>
        </w:tc>
        <w:tc>
          <w:tcPr>
            <w:tcW w:w="704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2"/>
            <w:vMerge w:val="continue"/>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ECARX Holdings Inc. 2021 Option Incentive Plan (incorporated by reference to Exhibit 10.11 to the Registration Statement Form 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4 (File No. 333-267813) filed with the Securities and Exchange Commission on November 14, 2022)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4.13</w:t>
            </w:r>
            <w:r>
              <w:rPr>
                <w:rFonts w:ascii="Times New Roman" w:cs="Times New Roman" w:eastAsia="Times New Roman" w:hAnsi="Times New Roman"/>
                <w:sz w:val="23"/>
                <w:szCs w:val="23"/>
                <w:color w:val="auto"/>
                <w:vertAlign w:val="superscript"/>
              </w:rPr>
              <w:t>†</w:t>
            </w:r>
          </w:p>
        </w:tc>
        <w:tc>
          <w:tcPr>
            <w:tcW w:w="704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2"/>
            <w:vMerge w:val="continue"/>
          </w:tcPr>
          <w:p>
            <w:pPr>
              <w:spacing w:after="0"/>
              <w:rPr>
                <w:sz w:val="21"/>
                <w:szCs w:val="21"/>
                <w:color w:val="auto"/>
              </w:rPr>
            </w:pPr>
          </w:p>
        </w:tc>
        <w:tc>
          <w:tcPr>
            <w:tcW w:w="9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ECARX Holdings Inc. 2022 Share Incentive Plan (incorporated by reference to Exhibit 10.2 to the Registration Statement Form S-8</w:t>
              </w:r>
            </w:hyperlink>
          </w:p>
        </w:tc>
        <w:tc>
          <w:tcPr>
            <w:tcW w:w="1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(File No. 333-269756) filed with the Securities and Exchange Commission on February 14,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Indemnification Agreement between ECARX Holdings Inc. and its directors and executive officers (incorporated by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gridSpan w:val="7"/>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10.12 to the Registration Statement Form F-4 (File No. 333-267813) filed with the Securities and Exchange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Commission on November 14, 2022)</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4.15</w:t>
            </w:r>
            <w:r>
              <w:rPr>
                <w:rFonts w:ascii="Times New Roman" w:cs="Times New Roman" w:eastAsia="Times New Roman" w:hAnsi="Times New Roman"/>
                <w:sz w:val="23"/>
                <w:szCs w:val="23"/>
                <w:color w:val="auto"/>
                <w:vertAlign w:val="superscript"/>
              </w:rPr>
              <w:t>#</w:t>
            </w:r>
          </w:p>
        </w:tc>
        <w:tc>
          <w:tcPr>
            <w:tcW w:w="3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English Translation of Working Capital Loan Contract, dated April 22, 2021, by and between Industrial Bank Co., Ltd. Wuhan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gridSpan w:val="7"/>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Branch and Hubei ECARX Technology Co., Ltd. (incorporated by reference to Exhibit 10.13 to the Registration Statement Form F-4</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(File No. 333-267813) filed with the Securities and Exchange Commission on November 14, 2022)</w:t>
              </w:r>
            </w:hyperlink>
          </w:p>
        </w:tc>
        <w:tc>
          <w:tcPr>
            <w:tcW w:w="2400" w:type="dxa"/>
            <w:vAlign w:val="bottom"/>
            <w:tcBorders>
              <w:top w:val="single" w:sz="8" w:color="0000FF"/>
            </w:tcBorders>
            <w:gridSpan w:val="20"/>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4.16</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21"/>
                <w:szCs w:val="21"/>
                <w:color w:val="auto"/>
              </w:rPr>
            </w:pPr>
          </w:p>
        </w:tc>
        <w:tc>
          <w:tcPr>
            <w:tcW w:w="9640" w:type="dxa"/>
            <w:vAlign w:val="bottom"/>
            <w:gridSpan w:val="3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English Translation of Credit Facility Agreement, dated July 7, 2020, by and between China Merchants Bank Co., Ltd., Wuhan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gridSpan w:val="7"/>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Branch and Hubei ECARX Technology Co., Ltd. (incorporated by reference to Exhibit 10.14 to the Registration Statement Form F-4</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(File No. 333-267813) filed with the Securities and Exchange Commission on November 14, 2022)</w:t>
              </w:r>
            </w:hyperlink>
          </w:p>
        </w:tc>
        <w:tc>
          <w:tcPr>
            <w:tcW w:w="2400" w:type="dxa"/>
            <w:vAlign w:val="bottom"/>
            <w:tcBorders>
              <w:top w:val="single" w:sz="8" w:color="0000FF"/>
            </w:tcBorders>
            <w:gridSpan w:val="20"/>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4.17</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21"/>
                <w:szCs w:val="21"/>
                <w:color w:val="auto"/>
              </w:rPr>
            </w:pPr>
          </w:p>
        </w:tc>
        <w:tc>
          <w:tcPr>
            <w:tcW w:w="9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English Translation of Credit Facility Agreement, dated February 1, 2021, by and between China Merchants Bank Co., Ltd., Wuhan</w:t>
              </w:r>
            </w:hyperlink>
          </w:p>
        </w:tc>
        <w:tc>
          <w:tcPr>
            <w:tcW w:w="1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Branch and Hubei ECARX Technology Co., Ltd. (incorporated by reference to Exhibit 10.15 to the Registration Statement Form F-4</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(File No. 333-267813) filed with the Securities and Exchange Commission on November 14,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40" w:type="dxa"/>
            <w:vAlign w:val="bottom"/>
            <w:tcBorders>
              <w:top w:val="single" w:sz="8" w:color="0000FF"/>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4.18</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English Translation of Termination Agreement of Current Control Documents dated April 8, 2022, by and between ECARX (Wuhan)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Technology Co., Ltd. and Hubei ECARX Technology Co., Ltd. (incorporated by reference to Exhibit 10.16 to the Registration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Statement Form F-4 (File No. 333-267813) filed with the Securities and Exchange Commission on November 14, 2022)</w:t>
              </w:r>
            </w:hyperlink>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4.19</w:t>
            </w:r>
            <w:r>
              <w:rPr>
                <w:rFonts w:ascii="Times New Roman" w:cs="Times New Roman" w:eastAsia="Times New Roman" w:hAnsi="Times New Roman"/>
                <w:sz w:val="23"/>
                <w:szCs w:val="23"/>
                <w:color w:val="auto"/>
                <w:vertAlign w:val="superscript"/>
              </w:rPr>
              <w:t>#</w:t>
            </w: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English Translation of Restructuring Framework Agreement, dated April 8, 2022, by and between ECARX (Hubei) Tech Co., Ltd.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Hubei ECARX Technology Co., Ltd. (incorporated by reference to Exhibit 10.17 to the Registration Statement Form F-4 (File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No. 333-267813) filed with the Securities and Exchange Commission on November 14, 2022)</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spacing w:after="0"/>
              <w:rPr>
                <w:sz w:val="21"/>
                <w:szCs w:val="21"/>
                <w:color w:val="auto"/>
              </w:rPr>
            </w:pPr>
          </w:p>
        </w:tc>
        <w:tc>
          <w:tcPr>
            <w:tcW w:w="9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English Translation of Supplemental Agreement to the Restructuring Framework Agreement, dated May 13, 2022, by and between</w:t>
              </w:r>
            </w:hyperlink>
          </w:p>
        </w:tc>
        <w:tc>
          <w:tcPr>
            <w:tcW w:w="2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ECARX (Hubei) Tech Co., Ltd. and Hubei ECARX Technology Co., Ltd. (incorporated by reference to Exhibit 10.18 to the</w:t>
              </w:r>
            </w:hyperlink>
          </w:p>
        </w:tc>
        <w:tc>
          <w:tcPr>
            <w:tcW w:w="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Registration Statement Form F-4 (File No. 333-267813) filed with the Securities and Exchange Commission on November 14, 2022)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4.21</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Master Commercialization Agreement, dated September 14, 2021, by and between Hubei ECARX Technology Co., Ltd. (referred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as ECARX (Hubei) Technology Co., Ltd.) and HaleyTek AB (previously known as Volvo Car Services 10 AB) (incorporated by</w:t>
              </w:r>
            </w:hyperlink>
          </w:p>
        </w:tc>
        <w:tc>
          <w:tcPr>
            <w:tcW w:w="280" w:type="dxa"/>
            <w:vAlign w:val="bottom"/>
            <w:tcBorders>
              <w:top w:val="single" w:sz="8" w:color="0000FF"/>
            </w:tcBorders>
            <w:gridSpan w:val="9"/>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10.19 to the Registration Statement Form F-4 (File No. 333-267813) filed with the Securities and Exchange</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Commission on November 14,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Transfer Agreement of Rights and Obligations, dated March 1, 2022, by and among Hubei ECARX Technology Co., Ltd, HaleyTek</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8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AB (previously known as Volvo Car Services 10 AB) and ECARX (Hubei) Tech Co., Ltd. (incorporated by reference to Exhibit</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the Registration Statement Form F-4 (File No. 333-267813) filed with the Securities and Exchange Commission on</w:t>
              </w:r>
            </w:hyperlink>
          </w:p>
        </w:tc>
        <w:tc>
          <w:tcPr>
            <w:tcW w:w="260" w:type="dxa"/>
            <w:vAlign w:val="bottom"/>
            <w:tcBorders>
              <w:top w:val="single" w:sz="8" w:color="0000FF"/>
            </w:tcBorders>
            <w:gridSpan w:val="6"/>
          </w:tcPr>
          <w:p>
            <w:pPr>
              <w:spacing w:after="0"/>
              <w:rPr>
                <w:sz w:val="17"/>
                <w:szCs w:val="17"/>
                <w:color w:val="auto"/>
              </w:rPr>
            </w:pPr>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November 14, 2022)</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4.23</w:t>
            </w:r>
            <w:r>
              <w:rPr>
                <w:rFonts w:ascii="Times New Roman" w:cs="Times New Roman" w:eastAsia="Times New Roman" w:hAnsi="Times New Roman"/>
                <w:sz w:val="23"/>
                <w:szCs w:val="23"/>
                <w:color w:val="auto"/>
                <w:vertAlign w:val="superscript"/>
              </w:rPr>
              <w:t>#</w:t>
            </w: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English Translation of Working Capital Loan Contract, dated June 28, 2022, by and between Industrial Bank Co., Ltd. Wuhan</w:t>
              </w:r>
            </w:hyperlink>
          </w:p>
        </w:tc>
        <w:tc>
          <w:tcPr>
            <w:tcW w:w="5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Branch and ECARX (Hubei) Tech Co., Ltd., as amended on June 29, 2022. (incorporated by reference to Exhibit 10.21 to the</w:t>
              </w:r>
            </w:hyperlink>
          </w:p>
        </w:tc>
        <w:tc>
          <w:tcPr>
            <w:tcW w:w="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Registration Statement Form F-4 (File No. 333-267813) filed with the Securities and Exchange Commission on November 14, 2022)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4.24</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Convertible Note Purchase Agreement, dated May 9, 2022, by and between ECARX Holdings Inc. and Lotus Technology Inc.</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(incorporated by reference to Exhibit 10.22 to the Registration Statement Form F-4 (File No. 333-267813) filed with the Securities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Exchange Commission on November 14, 2022)</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tcPr>
          <w:p>
            <w:pPr>
              <w:spacing w:after="0"/>
              <w:rPr>
                <w:sz w:val="21"/>
                <w:szCs w:val="21"/>
                <w:color w:val="auto"/>
              </w:rPr>
            </w:pPr>
          </w:p>
        </w:tc>
        <w:tc>
          <w:tcPr>
            <w:tcW w:w="93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Convertible Note Purchase Agreement, dated October 25, 2022, by and among ECARX Holdings Inc., SPDB International (Hong</w:t>
              </w:r>
            </w:hyperlink>
          </w:p>
        </w:tc>
        <w:tc>
          <w:tcPr>
            <w:tcW w:w="26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Kong) Limited and CNCB (Hong Kong) Investment Limited (incorporated by reference to Exhibit 10.23 to the Registration</w:t>
              </w:r>
            </w:hyperlink>
          </w:p>
        </w:tc>
        <w:tc>
          <w:tcPr>
            <w:tcW w:w="7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Statement Form F-4 (File No. 333-267813) filed with the Securities and Exchange Commission on November 14,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spacing w:after="0"/>
              <w:rPr>
                <w:sz w:val="21"/>
                <w:szCs w:val="21"/>
                <w:color w:val="auto"/>
              </w:rPr>
            </w:pPr>
          </w:p>
        </w:tc>
        <w:tc>
          <w:tcPr>
            <w:tcW w:w="94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Sale and Purchase Agreement, dated December 31, 2022, by and between Volvo Car Corporation and ECARX Technology Limited</w:t>
              </w:r>
            </w:hyperlink>
          </w:p>
        </w:tc>
        <w:tc>
          <w:tcPr>
            <w:tcW w:w="18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(incorporated by reference to Exhibit 4.26 to the annual report on Form 20-F (File No. 001-41576) filed with the Securities and</w:t>
              </w:r>
            </w:hyperlink>
          </w:p>
        </w:tc>
        <w:tc>
          <w:tcPr>
            <w:tcW w:w="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Exchange Commission on April 24,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Capital Contribution Agreement, dated June 30, 2023, by and between JICA Intelligent Robotics Co., Ltd., ECARX (Hubei) Tech</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4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Co., Ltd. and Geely Automotive Group Co., Ltd. (incorporated by reference to Exhibit 10.26 to the Post-effective Amendment No.1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to Registration Statement Form F-1 (File No. 333-271861) filed with the Securities and Exchange Commission on October 2, 2023)</w:t>
              </w:r>
            </w:hyperlink>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21"/>
                <w:szCs w:val="21"/>
                <w:color w:val="auto"/>
              </w:rPr>
            </w:pPr>
          </w:p>
        </w:tc>
        <w:tc>
          <w:tcPr>
            <w:tcW w:w="9220" w:type="dxa"/>
            <w:vAlign w:val="bottom"/>
            <w:tcBorders>
              <w:top w:val="single" w:sz="8" w:color="0000FF"/>
              <w:bottom w:val="single" w:sz="8" w:color="0000FF"/>
            </w:tcBorders>
            <w:gridSpan w:val="21"/>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Strategic Cooperation Agreement, dated November 15, 2023, by and between ECARX (Hubei) Tech Co., Ltd. and Hubei Xingji</w:t>
              </w:r>
            </w:hyperlink>
          </w:p>
        </w:tc>
        <w:tc>
          <w:tcPr>
            <w:tcW w:w="260" w:type="dxa"/>
            <w:vAlign w:val="bottom"/>
            <w:tcBorders>
              <w:top w:val="single" w:sz="8" w:color="0000FF"/>
            </w:tcBorders>
            <w:gridSpan w:val="8"/>
          </w:tcPr>
          <w:p>
            <w:pPr>
              <w:spacing w:after="0"/>
              <w:rPr>
                <w:sz w:val="21"/>
                <w:szCs w:val="21"/>
                <w:color w:val="auto"/>
              </w:rPr>
            </w:pPr>
          </w:p>
        </w:tc>
        <w:tc>
          <w:tcPr>
            <w:tcW w:w="1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Meizu Group Co., Ltd.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4.29</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Flyme Auto Intelligent Cockpit Solution License Agreement, dated November 15, 2023 by and between ECARX (Hubei) Tech Co.,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Ltd. and Hubei Xingji Meizu Group Co., Ltd.</w:t>
              </w:r>
            </w:hyperlink>
          </w:p>
        </w:tc>
        <w:tc>
          <w:tcPr>
            <w:tcW w:w="6200" w:type="dxa"/>
            <w:vAlign w:val="bottom"/>
            <w:tcBorders>
              <w:top w:val="single" w:sz="8" w:color="0000FF"/>
            </w:tcBorders>
            <w:gridSpan w:val="22"/>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Pr>
          <w:p>
            <w:pPr>
              <w:spacing w:after="0"/>
              <w:rPr>
                <w:sz w:val="21"/>
                <w:szCs w:val="21"/>
                <w:color w:val="auto"/>
              </w:rPr>
            </w:pPr>
          </w:p>
        </w:tc>
        <w:tc>
          <w:tcPr>
            <w:tcW w:w="95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Shareholder Agreement, dated November 16, 2023, by and between ECARX (Hubei) Tech Co., Ltd. and smart Software Technology</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80">
              <w:r>
                <w:rPr>
                  <w:rFonts w:ascii="Times New Roman" w:cs="Times New Roman" w:eastAsia="Times New Roman" w:hAnsi="Times New Roman"/>
                  <w:sz w:val="18"/>
                  <w:szCs w:val="18"/>
                  <w:color w:val="0000FF"/>
                  <w:w w:val="96"/>
                </w:rPr>
                <w:t>Co., Ltd.</w:t>
              </w:r>
            </w:hyperlink>
          </w:p>
        </w:tc>
        <w:tc>
          <w:tcPr>
            <w:tcW w:w="90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21"/>
                <w:szCs w:val="21"/>
                <w:color w:val="auto"/>
              </w:rPr>
            </w:pPr>
          </w:p>
        </w:tc>
        <w:tc>
          <w:tcPr>
            <w:tcW w:w="9640" w:type="dxa"/>
            <w:vAlign w:val="bottom"/>
            <w:gridSpan w:val="3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Strategic Cooperation Agreement, dated December 13, 2023, by and between ECARX (Hubei) Tech Co., Ltd. and Black Sesame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6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Intelligent Technology Co., Ltd.</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6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Pr>
          <w:p>
            <w:pPr>
              <w:spacing w:after="0"/>
              <w:rPr>
                <w:sz w:val="21"/>
                <w:szCs w:val="21"/>
                <w:color w:val="auto"/>
              </w:rPr>
            </w:pPr>
          </w:p>
        </w:tc>
        <w:tc>
          <w:tcPr>
            <w:tcW w:w="90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English Translation of Components Procurement and R&amp;D Services Agreement by and between Geely Automobile Holdings</w:t>
              </w:r>
            </w:hyperlink>
          </w:p>
        </w:tc>
        <w:tc>
          <w:tcPr>
            <w:tcW w:w="62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gridSpan w:val="3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Limited, ECARX (Hubei) Technology Co., Ltd. and certain parties thereto (incorporated by reference to Exhibit 99.2 to the current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report on Form 6-K (File No. 001-41576) furnished to the Securities and Exchange Commission on November 18, 2024)</w:t>
              </w:r>
            </w:hyperlink>
          </w:p>
        </w:tc>
        <w:tc>
          <w:tcPr>
            <w:tcW w:w="720" w:type="dxa"/>
            <w:vAlign w:val="bottom"/>
            <w:tcBorders>
              <w:top w:val="single" w:sz="8" w:color="0000FF"/>
            </w:tcBorders>
            <w:gridSpan w:val="16"/>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tcPr>
          <w:p>
            <w:pPr>
              <w:spacing w:after="0"/>
              <w:rPr>
                <w:sz w:val="21"/>
                <w:szCs w:val="21"/>
                <w:color w:val="auto"/>
              </w:rPr>
            </w:pPr>
          </w:p>
        </w:tc>
        <w:tc>
          <w:tcPr>
            <w:tcW w:w="96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Securities Purchase Agreement, dated October 30, 2025, by and between ECARX Holdings and ATW Mobility SPV LLC</w:t>
            </w:r>
          </w:p>
        </w:tc>
        <w:tc>
          <w:tcPr>
            <w:tcW w:w="0" w:type="dxa"/>
            <w:vAlign w:val="bottom"/>
          </w:tcPr>
          <w:p>
            <w:pPr>
              <w:spacing w:after="0"/>
              <w:rPr>
                <w:sz w:val="1"/>
                <w:szCs w:val="1"/>
                <w:color w:val="auto"/>
              </w:rPr>
            </w:pPr>
          </w:p>
        </w:tc>
      </w:tr>
      <w:tr>
        <w:trPr>
          <w:trHeight w:val="952"/>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Borders>
              <w:top w:val="single" w:sz="8" w:color="0000FF"/>
            </w:tcBorders>
            <w:gridSpan w:val="9"/>
          </w:tcPr>
          <w:p>
            <w:pPr>
              <w:ind w:left="3900"/>
              <w:spacing w:after="0"/>
              <w:rPr>
                <w:sz w:val="20"/>
                <w:szCs w:val="20"/>
                <w:color w:val="auto"/>
              </w:rPr>
            </w:pPr>
            <w:r>
              <w:rPr>
                <w:rFonts w:ascii="Times New Roman" w:cs="Times New Roman" w:eastAsia="Times New Roman" w:hAnsi="Times New Roman"/>
                <w:sz w:val="18"/>
                <w:szCs w:val="18"/>
                <w:color w:val="auto"/>
              </w:rPr>
              <w:t>113</w:t>
            </w:r>
          </w:p>
        </w:tc>
        <w:tc>
          <w:tcPr>
            <w:tcW w:w="18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4.34</w:t>
            </w:r>
          </w:p>
        </w:tc>
        <w:tc>
          <w:tcPr>
            <w:tcW w:w="9600" w:type="dxa"/>
            <w:vAlign w:val="bottom"/>
            <w:gridSpan w:val="2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Convertible Loan Agreement, dated December 4, 2025, by and among ECARX Holdings, ECARX (Hubei) Tech Co., Ltd.,</w:t>
              </w:r>
            </w:hyperlink>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DREAMSMART TECHNOLOGY PTE. LTD. and Hubei DreamSmart Group Co., Ltd. (incorporated by reference to Exhibit 10.1 to</w:t>
              </w:r>
            </w:hyperlink>
          </w:p>
        </w:tc>
        <w:tc>
          <w:tcPr>
            <w:tcW w:w="4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 current report on Form 6-K (File No. 001-41576) furnished to the Securities and Exchange Commission on December 4, 2025)</w:t>
              </w:r>
            </w:hyperlink>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4.35</w:t>
            </w: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Convertible Note Purchase Agreement, dated November 3, 2025, by and between ECARX Holdings and SPDB International (Hong</w:t>
              </w:r>
            </w:hyperlink>
          </w:p>
        </w:tc>
        <w:tc>
          <w:tcPr>
            <w:tcW w:w="100" w:type="dxa"/>
            <w:vAlign w:val="bottom"/>
            <w:gridSpan w:val="2"/>
          </w:tcPr>
          <w:p>
            <w:pPr>
              <w:spacing w:after="0"/>
              <w:rPr>
                <w:sz w:val="21"/>
                <w:szCs w:val="21"/>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Kong) Limited (incorporated by reference to Exhibit 10.1 to the current report on Form 6-K (File No. 001-41576) furnished to the</w:t>
              </w:r>
            </w:hyperlink>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Securities and Exchange Commission on November 3, 2025)</w:t>
              </w:r>
            </w:hyperlink>
          </w:p>
        </w:tc>
      </w:tr>
      <w:tr>
        <w:trPr>
          <w:trHeight w:val="20"/>
        </w:trPr>
        <w:tc>
          <w:tcPr>
            <w:tcW w:w="15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4.36</w:t>
            </w:r>
          </w:p>
        </w:tc>
        <w:tc>
          <w:tcPr>
            <w:tcW w:w="9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Subscription Agreement, dated December 23, 2025, by and between ECARX Holdings and Lotus Technology Inc. (incorporated by</w:t>
              </w:r>
            </w:hyperlink>
          </w:p>
        </w:tc>
        <w:tc>
          <w:tcPr>
            <w:tcW w:w="120" w:type="dxa"/>
            <w:vAlign w:val="bottom"/>
            <w:gridSpan w:val="3"/>
          </w:tcPr>
          <w:p>
            <w:pPr>
              <w:spacing w:after="0"/>
              <w:rPr>
                <w:sz w:val="21"/>
                <w:szCs w:val="21"/>
                <w:color w:val="auto"/>
              </w:rPr>
            </w:pPr>
          </w:p>
        </w:tc>
      </w:tr>
      <w:tr>
        <w:trPr>
          <w:trHeight w:val="196"/>
        </w:trPr>
        <w:tc>
          <w:tcPr>
            <w:tcW w:w="1580" w:type="dxa"/>
            <w:vAlign w:val="bottom"/>
          </w:tcPr>
          <w:p>
            <w:pPr>
              <w:spacing w:after="0"/>
              <w:rPr>
                <w:sz w:val="17"/>
                <w:szCs w:val="17"/>
                <w:color w:val="auto"/>
              </w:rPr>
            </w:pPr>
          </w:p>
        </w:tc>
        <w:tc>
          <w:tcPr>
            <w:tcW w:w="88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reference to Exhibit 10.1 to the current report on Form 6-K (File No. 001-41576) furnished to the Securities and Exchange</w:t>
              </w:r>
            </w:hyperlink>
          </w:p>
        </w:tc>
        <w:tc>
          <w:tcPr>
            <w:tcW w:w="760" w:type="dxa"/>
            <w:vAlign w:val="bottom"/>
            <w:gridSpan w:val="8"/>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Commission on December 29, 2025)</w:t>
              </w:r>
            </w:hyperlink>
          </w:p>
        </w:tc>
      </w:tr>
      <w:tr>
        <w:trPr>
          <w:trHeight w:val="20"/>
        </w:trPr>
        <w:tc>
          <w:tcPr>
            <w:tcW w:w="15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4.37</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Subscription Agreement, dated January 8, 2026, by and between ECARX Holdings and Geely Investment Holding Ltd. (incorporated</w:t>
              </w:r>
            </w:hyperlink>
          </w:p>
        </w:tc>
      </w:tr>
      <w:tr>
        <w:trPr>
          <w:trHeight w:val="196"/>
        </w:trPr>
        <w:tc>
          <w:tcPr>
            <w:tcW w:w="1580" w:type="dxa"/>
            <w:vAlign w:val="bottom"/>
          </w:tcPr>
          <w:p>
            <w:pPr>
              <w:spacing w:after="0"/>
              <w:rPr>
                <w:sz w:val="17"/>
                <w:szCs w:val="17"/>
                <w:color w:val="auto"/>
              </w:rPr>
            </w:pPr>
          </w:p>
        </w:tc>
        <w:tc>
          <w:tcPr>
            <w:tcW w:w="90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by reference to Exhibit 10.1 to the current report on Form 6-K (File No. 001-41576) furnished to the Securities and Exchange</w:t>
              </w:r>
            </w:hyperlink>
          </w:p>
        </w:tc>
        <w:tc>
          <w:tcPr>
            <w:tcW w:w="560" w:type="dxa"/>
            <w:vAlign w:val="bottom"/>
            <w:gridSpan w:val="7"/>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Commission on January 12, 2026)</w:t>
              </w:r>
            </w:hyperlink>
          </w:p>
        </w:tc>
      </w:tr>
      <w:tr>
        <w:trPr>
          <w:trHeight w:val="20"/>
        </w:trPr>
        <w:tc>
          <w:tcPr>
            <w:tcW w:w="15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3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List of subsidiaries of ECARX Holdings Inc.</w:t>
            </w:r>
          </w:p>
        </w:tc>
        <w:tc>
          <w:tcPr>
            <w:tcW w:w="6360" w:type="dxa"/>
            <w:vAlign w:val="bottom"/>
            <w:gridSpan w:val="17"/>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600" w:type="dxa"/>
            <w:vAlign w:val="bottom"/>
            <w:gridSpan w:val="2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Code of Business Conduct and Ethics of the Registrant (incorporated by reference to Exhibit 11.1 to the annual report on Form 20-F</w:t>
              </w:r>
            </w:hyperlink>
          </w:p>
        </w:tc>
      </w:tr>
      <w:tr>
        <w:trPr>
          <w:trHeight w:val="196"/>
        </w:trPr>
        <w:tc>
          <w:tcPr>
            <w:tcW w:w="1580" w:type="dxa"/>
            <w:vAlign w:val="bottom"/>
          </w:tcPr>
          <w:p>
            <w:pPr>
              <w:spacing w:after="0"/>
              <w:rPr>
                <w:sz w:val="17"/>
                <w:szCs w:val="17"/>
                <w:color w:val="auto"/>
              </w:rPr>
            </w:pPr>
          </w:p>
        </w:tc>
        <w:tc>
          <w:tcPr>
            <w:tcW w:w="950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(File No. 001-41576) filed with the Securities and Exchange Commission on April 24, 2023)</w:t>
              </w:r>
            </w:hyperlink>
          </w:p>
        </w:tc>
        <w:tc>
          <w:tcPr>
            <w:tcW w:w="100" w:type="dxa"/>
            <w:vAlign w:val="bottom"/>
            <w:gridSpan w:val="2"/>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9600" w:type="dxa"/>
            <w:vAlign w:val="bottom"/>
            <w:gridSpan w:val="23"/>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Statement of Policies Governing Material, Non-Public Information and the Prevention of Insider Trading of</w:t>
              </w:r>
            </w:hyperlink>
          </w:p>
        </w:tc>
      </w:tr>
      <w:tr>
        <w:trPr>
          <w:trHeight w:val="196"/>
        </w:trPr>
        <w:tc>
          <w:tcPr>
            <w:tcW w:w="158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the Registrant (incorporated by reference to Exhibit 11.2 to the annual report on Form 20-F (File No. 001-41576) filed with the</w:t>
              </w:r>
            </w:hyperlink>
          </w:p>
        </w:tc>
        <w:tc>
          <w:tcPr>
            <w:tcW w:w="320" w:type="dxa"/>
            <w:vAlign w:val="bottom"/>
            <w:tcBorders>
              <w:top w:val="single" w:sz="8" w:color="0000FF"/>
            </w:tcBorders>
            <w:gridSpan w:val="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600" w:type="dxa"/>
            <w:vAlign w:val="bottom"/>
            <w:gridSpan w:val="2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Securities and Exchange Commission on March 26, 2025)</w:t>
              </w:r>
            </w:hyperlink>
          </w:p>
        </w:tc>
      </w:tr>
      <w:tr>
        <w:trPr>
          <w:trHeight w:val="20"/>
        </w:trPr>
        <w:tc>
          <w:tcPr>
            <w:tcW w:w="15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5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CEO Certification Pursuant to Section 302 of the Sarbanes-Oxley Act of 2002</w:t>
            </w:r>
          </w:p>
        </w:tc>
        <w:tc>
          <w:tcPr>
            <w:tcW w:w="3940" w:type="dxa"/>
            <w:vAlign w:val="bottom"/>
            <w:gridSpan w:val="10"/>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5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302 of the Sarbanes-Oxley Act of 2002</w:t>
            </w:r>
          </w:p>
        </w:tc>
        <w:tc>
          <w:tcPr>
            <w:tcW w:w="3960" w:type="dxa"/>
            <w:vAlign w:val="bottom"/>
            <w:gridSpan w:val="11"/>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5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CEO Certification Pursuant to Section 906 of the Sarbanes-Oxley Act of 2002</w:t>
            </w:r>
          </w:p>
        </w:tc>
        <w:tc>
          <w:tcPr>
            <w:tcW w:w="3940" w:type="dxa"/>
            <w:vAlign w:val="bottom"/>
            <w:gridSpan w:val="10"/>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5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906 of the Sarbanes-Oxley Act of 2002</w:t>
            </w:r>
          </w:p>
        </w:tc>
        <w:tc>
          <w:tcPr>
            <w:tcW w:w="3980" w:type="dxa"/>
            <w:vAlign w:val="bottom"/>
            <w:gridSpan w:val="12"/>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Maples and Calder (Hong Kong) LLP</w:t>
            </w:r>
          </w:p>
        </w:tc>
        <w:tc>
          <w:tcPr>
            <w:tcW w:w="6040" w:type="dxa"/>
            <w:vAlign w:val="bottom"/>
            <w:gridSpan w:val="16"/>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2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Han Kun Law Offices</w:t>
            </w:r>
          </w:p>
        </w:tc>
        <w:tc>
          <w:tcPr>
            <w:tcW w:w="7140" w:type="dxa"/>
            <w:vAlign w:val="bottom"/>
            <w:gridSpan w:val="19"/>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2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KPMG Huazhen LLP</w:t>
            </w:r>
          </w:p>
        </w:tc>
        <w:tc>
          <w:tcPr>
            <w:tcW w:w="7200" w:type="dxa"/>
            <w:vAlign w:val="bottom"/>
            <w:gridSpan w:val="20"/>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 xml:space="preserve">Clawback Policy of the Registrant (incorporated by reference to Exhibit </w:t>
              </w:r>
            </w:hyperlink>
            <w:r>
              <w:rPr>
                <w:rFonts w:ascii="Times New Roman" w:cs="Times New Roman" w:eastAsia="Times New Roman" w:hAnsi="Times New Roman"/>
                <w:sz w:val="18"/>
                <w:szCs w:val="18"/>
                <w:color w:val="0000FF"/>
                <w:w w:val="99"/>
              </w:rPr>
              <w:t xml:space="preserve">97.1 </w:t>
            </w:r>
            <w:hyperlink r:id="rId191">
              <w:r>
                <w:rPr>
                  <w:rFonts w:ascii="Times New Roman" w:cs="Times New Roman" w:eastAsia="Times New Roman" w:hAnsi="Times New Roman"/>
                  <w:sz w:val="18"/>
                  <w:szCs w:val="18"/>
                  <w:color w:val="0000FF"/>
                  <w:w w:val="99"/>
                </w:rPr>
                <w:t>to the annual report on Form 20-F (File No. 001-41576)</w:t>
              </w:r>
            </w:hyperlink>
          </w:p>
        </w:tc>
      </w:tr>
      <w:tr>
        <w:trPr>
          <w:trHeight w:val="196"/>
        </w:trPr>
        <w:tc>
          <w:tcPr>
            <w:tcW w:w="1580" w:type="dxa"/>
            <w:vAlign w:val="bottom"/>
          </w:tcPr>
          <w:p>
            <w:pPr>
              <w:spacing w:after="0"/>
              <w:rPr>
                <w:sz w:val="17"/>
                <w:szCs w:val="17"/>
                <w:color w:val="auto"/>
              </w:rPr>
            </w:pPr>
          </w:p>
        </w:tc>
        <w:tc>
          <w:tcPr>
            <w:tcW w:w="5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 xml:space="preserve">filed with the Securities and Exchange Commission on </w:t>
              </w:r>
            </w:hyperlink>
            <w:r>
              <w:rPr>
                <w:rFonts w:ascii="Times New Roman" w:cs="Times New Roman" w:eastAsia="Times New Roman" w:hAnsi="Times New Roman"/>
                <w:sz w:val="18"/>
                <w:szCs w:val="18"/>
                <w:color w:val="0000FF"/>
                <w:w w:val="99"/>
              </w:rPr>
              <w:t xml:space="preserve">March </w:t>
            </w:r>
            <w:hyperlink r:id="rId191">
              <w:r>
                <w:rPr>
                  <w:rFonts w:ascii="Times New Roman" w:cs="Times New Roman" w:eastAsia="Times New Roman" w:hAnsi="Times New Roman"/>
                  <w:sz w:val="18"/>
                  <w:szCs w:val="18"/>
                  <w:color w:val="0000FF"/>
                  <w:w w:val="99"/>
                </w:rPr>
                <w:t xml:space="preserve">26, </w:t>
              </w:r>
            </w:hyperlink>
            <w:r>
              <w:rPr>
                <w:rFonts w:ascii="Times New Roman" w:cs="Times New Roman" w:eastAsia="Times New Roman" w:hAnsi="Times New Roman"/>
                <w:sz w:val="18"/>
                <w:szCs w:val="18"/>
                <w:color w:val="0000FF"/>
                <w:w w:val="99"/>
              </w:rPr>
              <w:t>2025)</w:t>
            </w:r>
          </w:p>
        </w:tc>
        <w:tc>
          <w:tcPr>
            <w:tcW w:w="4400" w:type="dxa"/>
            <w:vAlign w:val="bottom"/>
            <w:gridSpan w:val="13"/>
          </w:tcPr>
          <w:p>
            <w:pPr>
              <w:spacing w:after="0"/>
              <w:rPr>
                <w:sz w:val="17"/>
                <w:szCs w:val="17"/>
                <w:color w:val="auto"/>
              </w:rPr>
            </w:pPr>
          </w:p>
        </w:tc>
      </w:tr>
      <w:tr>
        <w:trPr>
          <w:trHeight w:val="29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this instance document does not appear on the Interactive Data</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with this annual report.</w:t>
      </w:r>
    </w:p>
    <w:p>
      <w:pPr>
        <w:spacing w:after="0" w:line="217"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with this annual report.</w:t>
      </w:r>
    </w:p>
    <w:p>
      <w:pPr>
        <w:spacing w:after="0" w:line="231" w:lineRule="exact"/>
        <w:rPr>
          <w:sz w:val="20"/>
          <w:szCs w:val="20"/>
          <w:color w:val="auto"/>
        </w:rPr>
      </w:pPr>
    </w:p>
    <w:p>
      <w:pPr>
        <w:ind w:left="220" w:hanging="212"/>
        <w:spacing w:after="0"/>
        <w:tabs>
          <w:tab w:leader="none" w:pos="2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redacted or omitted.</w:t>
      </w:r>
    </w:p>
    <w:p>
      <w:pPr>
        <w:spacing w:after="0" w:line="2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333" w:lineRule="exact"/>
        <w:rPr>
          <w:sz w:val="20"/>
          <w:szCs w:val="20"/>
          <w:color w:val="auto"/>
        </w:rPr>
      </w:pPr>
    </w:p>
    <w:p>
      <w:pPr>
        <w:ind w:left="568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Ziyu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p>
      <w:pPr>
        <w:spacing w:after="0" w:line="7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Ziyu Shen</w:t>
      </w:r>
    </w:p>
    <w:p>
      <w:pPr>
        <w:spacing w:after="0" w:line="63" w:lineRule="exact"/>
        <w:rPr>
          <w:sz w:val="20"/>
          <w:szCs w:val="20"/>
          <w:color w:val="auto"/>
        </w:rPr>
      </w:pPr>
    </w:p>
    <w:p>
      <w:pPr>
        <w:sectPr>
          <w:pgSz w:w="11900" w:h="16838" w:orient="portrait"/>
          <w:cols w:equalWidth="0" w:num="2">
            <w:col w:w="6620" w:space="420"/>
            <w:col w:w="3580"/>
          </w:cols>
          <w:pgMar w:left="320" w:top="121" w:right="959" w:bottom="1440" w:gutter="0" w:footer="0" w:header="0"/>
          <w:type w:val="continuous"/>
        </w:sectPr>
      </w:pPr>
    </w:p>
    <w:p>
      <w:pPr>
        <w:ind w:left="61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ectPr>
          <w:pgSz w:w="11900" w:h="16838" w:orient="portrait"/>
          <w:cols w:equalWidth="0" w:num="2">
            <w:col w:w="6520" w:space="520"/>
            <w:col w:w="3580"/>
          </w:cols>
          <w:pgMar w:left="320" w:top="121" w:right="9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(s)</w:t>
            </w:r>
          </w:p>
        </w:tc>
      </w:tr>
      <w:tr>
        <w:trPr>
          <w:trHeight w:val="37"/>
        </w:trPr>
        <w:tc>
          <w:tcPr>
            <w:tcW w:w="2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Huazhen LLP, Shanghai, China, Auditor Firm ID: 1186)</w:t>
            </w:r>
          </w:p>
        </w:tc>
        <w:tc>
          <w:tcPr>
            <w:tcW w:w="11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0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2025</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48"/>
        </w:trPr>
        <w:tc>
          <w:tcPr>
            <w:tcW w:w="2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2024 and 2025</w:t>
            </w: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0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Changes in Shareholders’ Deficit for the years ended December 31, 2023, 2024 and 2025</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48"/>
        </w:trPr>
        <w:tc>
          <w:tcPr>
            <w:tcW w:w="2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2024 and 2025</w:t>
            </w:r>
          </w:p>
        </w:tc>
        <w:tc>
          <w:tcPr>
            <w:tcW w:w="3160" w:type="dxa"/>
            <w:vAlign w:val="bottom"/>
            <w:tcBorders>
              <w:bottom w:val="single" w:sz="8" w:color="CCEEFF"/>
            </w:tcBorders>
            <w:gridSpan w:val="4"/>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F-10</w:t>
            </w:r>
          </w:p>
        </w:tc>
      </w:tr>
      <w:tr>
        <w:trPr>
          <w:trHeight w:val="203"/>
        </w:trPr>
        <w:tc>
          <w:tcPr>
            <w:tcW w:w="20" w:type="dxa"/>
            <w:vAlign w:val="bottom"/>
          </w:tcPr>
          <w:p>
            <w:pPr>
              <w:spacing w:after="0"/>
              <w:rPr>
                <w:sz w:val="17"/>
                <w:szCs w:val="17"/>
                <w:color w:val="auto"/>
              </w:rPr>
            </w:pPr>
          </w:p>
        </w:tc>
        <w:tc>
          <w:tcPr>
            <w:tcW w:w="10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F-13</w:t>
            </w:r>
          </w:p>
        </w:tc>
      </w:tr>
      <w:tr>
        <w:trPr>
          <w:trHeight w:val="1067"/>
        </w:trPr>
        <w:tc>
          <w:tcPr>
            <w:tcW w:w="20" w:type="dxa"/>
            <w:vAlign w:val="bottom"/>
            <w:tcBorders>
              <w:bottom w:val="single" w:sz="8" w:color="9A9A9A"/>
            </w:tcBorders>
          </w:tcPr>
          <w:p>
            <w:pPr>
              <w:spacing w:after="0"/>
              <w:rPr>
                <w:sz w:val="24"/>
                <w:szCs w:val="24"/>
                <w:color w:val="auto"/>
              </w:rPr>
            </w:pPr>
          </w:p>
        </w:tc>
        <w:tc>
          <w:tcPr>
            <w:tcW w:w="342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ECARX Holdings Inc. and subsidiaries (the Company) as of December 31, 2024 and 2025, the related consolidated statements of comprehensive loss, changes in shareholders’ deficit,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Currency</w:t>
      </w:r>
    </w:p>
    <w:p>
      <w:pPr>
        <w:spacing w:after="0" w:line="24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described in Note 2(c) to the consolidated financial statements, the Company has elected to change its reporting currency from Chinese Renminbi to United States Dollars on January 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2(a) to the consolidated financial statements, the Company has incurred recurring losses and had net cash used in operating activities and net current liabilities that raise substantial doubt about its ability to continue as a going concern. Management’s plans in regard to these matters are also described in Note 2(a). The consolidated financial statements do not include any adjustments that might result from the outcome of this uncertainty.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third parties,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related parties, net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62,341</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386,127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483,175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3.b</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 third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 related parties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179,234</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514,343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662,409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pacing w:after="0" w:line="2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third parties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third parties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related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payable, 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823,004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borrowings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 third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 related parties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payable, non-current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third parties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122,880</w:t>
            </w:r>
          </w:p>
        </w:tc>
        <w:tc>
          <w:tcPr>
            <w:tcW w:w="0" w:type="dxa"/>
            <w:vAlign w:val="bottom"/>
          </w:tcPr>
          <w:p>
            <w:pPr>
              <w:spacing w:after="0"/>
              <w:rPr>
                <w:sz w:val="1"/>
                <w:szCs w:val="1"/>
                <w:color w:val="auto"/>
              </w:rPr>
            </w:pPr>
          </w:p>
        </w:tc>
      </w:tr>
      <w:tr>
        <w:trPr>
          <w:trHeight w:val="26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752,046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945,884</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pacing w:after="0" w:line="2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(US$0.000005 par value, 8,000,000,000 shares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as of December 31, 2024 and 2025; 296,169,110 shares and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336,406,528 shares issued as of December 31, 2024 and 2025,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 291,166,110 shares and 310,505,777 shares outstanding as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31, 2024 and 2025, respectively)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 (US$0.000005 par value, 1,000,000,000 shares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as of December 31, 2024 and 2025; 48,960,916 and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45,960,916 shares issued and outstanding as of December 31, 2024 and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 (5,003,000 and 25,900,751 shares held as of</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958,052</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0" w:type="dxa"/>
            <w:vAlign w:val="bottom"/>
          </w:tcPr>
          <w:p>
            <w:pPr>
              <w:spacing w:after="0"/>
              <w:rPr>
                <w:sz w:val="1"/>
                <w:szCs w:val="1"/>
                <w:color w:val="auto"/>
              </w:rPr>
            </w:pPr>
          </w:p>
        </w:tc>
      </w:tr>
      <w:tr>
        <w:trPr>
          <w:trHeight w:val="201"/>
        </w:trPr>
        <w:tc>
          <w:tcPr>
            <w:tcW w:w="53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deficit attributable to ordinary shareholders of ECARX</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(239,668)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(282,664)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(237,703)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(283,475)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662,409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pacing w:after="0" w:line="23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gridSpan w:val="5"/>
          </w:tcPr>
          <w:p>
            <w:pPr>
              <w:jc w:val="center"/>
              <w:ind w:left="91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1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20" w:type="dxa"/>
            <w:vAlign w:val="bottom"/>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US$</w:t>
            </w: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US$</w:t>
            </w: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21</w:t>
            </w: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of goods revenues (including related parties amounts of US$383,228, US$531,994 and US$622,115 for</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years ended 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467,403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611,245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703,093</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 license revenues (including related parties amounts of US$41,389, US$34,332 and US$27,555 for the</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years ended December 31, 2023, 2024 and 2025, respectively)</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62,796</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42,455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29,698</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revenues (including related parties amounts of US$127,693, US$116,660 and US$108,120 for the years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ended 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132,027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115,067</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662,226</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771,530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847,858</w:t>
            </w:r>
          </w:p>
        </w:tc>
        <w:tc>
          <w:tcPr>
            <w:tcW w:w="0" w:type="dxa"/>
            <w:vAlign w:val="bottom"/>
          </w:tcPr>
          <w:p>
            <w:pPr>
              <w:spacing w:after="0"/>
              <w:rPr>
                <w:sz w:val="1"/>
                <w:szCs w:val="1"/>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 (including related parties amounts of US$61,367, US$104,692 and US$243,623 for the</w:t>
            </w:r>
          </w:p>
        </w:tc>
        <w:tc>
          <w:tcPr>
            <w:tcW w:w="4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years ended 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(385,929)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(537,620)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(610,285)</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software licenses (including related parties amounts of US$3,160, US$15,910 and US$22,117 for the</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years ended December 31, 2023, 2024 and 2025, respectively)</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(16,978)</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(17,193)</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services (including related parties amounts of US$12,636, US$2,480 and US$875 for the years ended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(80,701)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(59,118)</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cost of revenues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(483,608)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(611,431)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(686,596)</w:t>
            </w:r>
          </w:p>
        </w:tc>
        <w:tc>
          <w:tcPr>
            <w:tcW w:w="0" w:type="dxa"/>
            <w:vAlign w:val="bottom"/>
          </w:tcPr>
          <w:p>
            <w:pPr>
              <w:spacing w:after="0"/>
              <w:rPr>
                <w:sz w:val="1"/>
                <w:szCs w:val="1"/>
                <w:color w:val="auto"/>
              </w:rPr>
            </w:pPr>
          </w:p>
        </w:tc>
      </w:tr>
      <w:tr>
        <w:trPr>
          <w:trHeight w:val="182"/>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46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178,618</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160,099</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161,262</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 (including related parties amounts of US$4,894, US$15,979 and</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US$10,068 for the years ended December 31, 2023, 2024 and 2025, respectively)</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(177,679)</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(174,864)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(123,337)</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 (including related parties amounts of US$2,482, US$1,233 and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US$837 for the years ended 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(131,717)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(93,841)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 related parties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Others, net</w:t>
            </w: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(308,634)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(282,995)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(216,035)</w:t>
            </w:r>
          </w:p>
        </w:tc>
        <w:tc>
          <w:tcPr>
            <w:tcW w:w="0" w:type="dxa"/>
            <w:vAlign w:val="bottom"/>
          </w:tcPr>
          <w:p>
            <w:pPr>
              <w:spacing w:after="0"/>
              <w:rPr>
                <w:sz w:val="1"/>
                <w:szCs w:val="1"/>
                <w:color w:val="auto"/>
              </w:rPr>
            </w:pPr>
          </w:p>
        </w:tc>
      </w:tr>
      <w:tr>
        <w:trPr>
          <w:trHeight w:val="182"/>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46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(130,016)</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(122,896)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(54,773)</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(including related parties amounts of US$2,252, US$1,623 and US$2,278 for the years ended</w:t>
            </w: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2023, 2024 and 2025, respectively)</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expenses (including related parties amounts of US$1,717, US$2,165 and US$1,818 for the years ended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2023, 2024 and 2025, respectively)</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(23,772)</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gain from equity method investments, net</w:t>
            </w: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(6,142)</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non-operating (expenses) income, net</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22</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5,904</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4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(144,424)</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(137,541)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(67,695)</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4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(143,899)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(137,751)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(68,939)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10,584</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0" w:type="dxa"/>
            <w:vAlign w:val="bottom"/>
          </w:tcPr>
          <w:p>
            <w:pPr>
              <w:spacing w:after="0"/>
              <w:rPr>
                <w:sz w:val="1"/>
                <w:szCs w:val="1"/>
                <w:color w:val="auto"/>
              </w:rPr>
            </w:pPr>
          </w:p>
        </w:tc>
      </w:tr>
      <w:tr>
        <w:trPr>
          <w:trHeight w:val="28"/>
        </w:trPr>
        <w:tc>
          <w:tcPr>
            <w:tcW w:w="6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available to ECARX Holdings Inc. ordinary shareholders</w:t>
            </w:r>
          </w:p>
        </w:tc>
        <w:tc>
          <w:tcPr>
            <w:tcW w:w="4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(133,315)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(129,765)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Loss per ordinary share</w:t>
            </w: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Basic and diluted loss per share, ordinary shares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number of ordinary shares used in computing loss per ordinary share</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Weighted average number of ordinary shares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337,407,225</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336,641,846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338,659,826</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(143,899)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(137,751)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(68,939)</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change of available-for-sale debt investment, net of nil income taxes</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 net of nil income taxes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6,505</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0" w:type="dxa"/>
            <w:vAlign w:val="bottom"/>
          </w:tcPr>
          <w:p>
            <w:pPr>
              <w:spacing w:after="0"/>
              <w:rPr>
                <w:sz w:val="1"/>
                <w:szCs w:val="1"/>
                <w:color w:val="auto"/>
              </w:rPr>
            </w:pPr>
          </w:p>
        </w:tc>
      </w:tr>
      <w:tr>
        <w:trPr>
          <w:trHeight w:val="182"/>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6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(137,394)</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(133,902)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(79,829)</w:t>
            </w: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noncontrolling interests</w:t>
            </w:r>
          </w:p>
        </w:tc>
        <w:tc>
          <w:tcPr>
            <w:tcW w:w="4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11,264</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2,776</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attributable to ordinary shareholders</w:t>
            </w: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(126,130)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(125,694)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(77,053)</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pacing w:after="0" w:line="24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400"/>
          </w:cols>
          <w:pgMar w:left="320" w:top="12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DEFICIT</w:t>
      </w:r>
    </w:p>
    <w:p>
      <w:pPr>
        <w:spacing w:after="0" w:line="2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ectPr>
          <w:pgSz w:w="11900" w:h="16838" w:orient="portrait"/>
          <w:cols w:equalWidth="0" w:num="1">
            <w:col w:w="10480"/>
          </w:cols>
          <w:pgMar w:left="320" w:top="12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5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3"/>
          </w:tcPr>
          <w:p>
            <w:pPr>
              <w:ind w:left="5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52"/>
        </w:trPr>
        <w:tc>
          <w:tcPr>
            <w:tcW w:w="14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2022¹</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288,434,474</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48,960,916</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853,365</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Share-based</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(Note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24,866</w:t>
            </w:r>
          </w:p>
        </w:tc>
        <w:tc>
          <w:tcPr>
            <w:tcW w:w="0" w:type="dxa"/>
            <w:vAlign w:val="bottom"/>
          </w:tcPr>
          <w:p>
            <w:pPr>
              <w:spacing w:after="0"/>
              <w:rPr>
                <w:sz w:val="1"/>
                <w:szCs w:val="1"/>
                <w:color w:val="auto"/>
              </w:rPr>
            </w:pPr>
          </w:p>
        </w:tc>
      </w:tr>
      <w:tr>
        <w:trPr>
          <w:trHeight w:val="188"/>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Combination of a</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subsidiary under</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control</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ordinary shares under</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2022 Share Incentive</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 (Note 19)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554,575</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translation</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 net of nil</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440" w:type="dxa"/>
            <w:vAlign w:val="bottom"/>
            <w:vMerge w:val="continue"/>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288,989,049</w:t>
            </w: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48,960,916</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878,640</w:t>
            </w:r>
          </w:p>
        </w:tc>
        <w:tc>
          <w:tcPr>
            <w:tcW w:w="0" w:type="dxa"/>
            <w:vAlign w:val="bottom"/>
          </w:tcPr>
          <w:p>
            <w:pPr>
              <w:spacing w:after="0"/>
              <w:rPr>
                <w:sz w:val="1"/>
                <w:szCs w:val="1"/>
                <w:color w:val="auto"/>
              </w:rPr>
            </w:pPr>
          </w:p>
        </w:tc>
      </w:tr>
      <w:tr>
        <w:trPr>
          <w:trHeight w:val="195"/>
        </w:trPr>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2023¹</w:t>
            </w:r>
          </w:p>
        </w:tc>
        <w:tc>
          <w:tcPr>
            <w:tcW w:w="9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-2451100</wp:posOffset>
            </wp:positionV>
            <wp:extent cx="6652260"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665226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665226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665226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6652260" cy="4718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665226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6652260"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66522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Total deficit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960" w:type="dxa"/>
            <w:vAlign w:val="bottom"/>
            <w:gridSpan w:val="2"/>
            <w:vMerge w:val="continue"/>
          </w:tcPr>
          <w:p>
            <w:pPr>
              <w:spacing w:after="0"/>
              <w:rPr>
                <w:sz w:val="7"/>
                <w:szCs w:val="7"/>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ordinary</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95"/>
        </w:trPr>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405"/>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(861,372)</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(20,465)</w:t>
            </w:r>
          </w:p>
        </w:tc>
        <w:tc>
          <w:tcPr>
            <w:tcW w:w="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(28,470)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23,476</w:t>
            </w:r>
          </w:p>
        </w:tc>
        <w:tc>
          <w:tcPr>
            <w:tcW w:w="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(4,994)</w:t>
            </w:r>
          </w:p>
        </w:tc>
        <w:tc>
          <w:tcPr>
            <w:tcW w:w="0" w:type="dxa"/>
            <w:vAlign w:val="bottom"/>
          </w:tcPr>
          <w:p>
            <w:pPr>
              <w:spacing w:after="0"/>
              <w:rPr>
                <w:sz w:val="1"/>
                <w:szCs w:val="1"/>
                <w:color w:val="auto"/>
              </w:rPr>
            </w:pPr>
          </w:p>
        </w:tc>
      </w:tr>
      <w:tr>
        <w:trPr>
          <w:trHeight w:val="229"/>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(133,315)</w:t>
            </w: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(133,315)</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(143,899)</w:t>
            </w:r>
          </w:p>
        </w:tc>
        <w:tc>
          <w:tcPr>
            <w:tcW w:w="0" w:type="dxa"/>
            <w:vAlign w:val="bottom"/>
          </w:tcPr>
          <w:p>
            <w:pPr>
              <w:spacing w:after="0"/>
              <w:rPr>
                <w:sz w:val="1"/>
                <w:szCs w:val="1"/>
                <w:color w:val="auto"/>
              </w:rPr>
            </w:pPr>
          </w:p>
        </w:tc>
      </w:tr>
      <w:tr>
        <w:trPr>
          <w:trHeight w:val="56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24,866</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24,866</w:t>
            </w:r>
          </w:p>
        </w:tc>
        <w:tc>
          <w:tcPr>
            <w:tcW w:w="0" w:type="dxa"/>
            <w:vAlign w:val="bottom"/>
          </w:tcPr>
          <w:p>
            <w:pPr>
              <w:spacing w:after="0"/>
              <w:rPr>
                <w:sz w:val="1"/>
                <w:szCs w:val="1"/>
                <w:color w:val="auto"/>
              </w:rPr>
            </w:pPr>
          </w:p>
        </w:tc>
      </w:tr>
      <w:tr>
        <w:trPr>
          <w:trHeight w:val="743"/>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743"/>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742"/>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6,505</w:t>
            </w:r>
          </w:p>
        </w:tc>
        <w:tc>
          <w:tcPr>
            <w:tcW w:w="0" w:type="dxa"/>
            <w:vAlign w:val="bottom"/>
          </w:tcPr>
          <w:p>
            <w:pPr>
              <w:spacing w:after="0"/>
              <w:rPr>
                <w:sz w:val="1"/>
                <w:szCs w:val="1"/>
                <w:color w:val="auto"/>
              </w:rPr>
            </w:pPr>
          </w:p>
        </w:tc>
      </w:tr>
      <w:tr>
        <w:trPr>
          <w:trHeight w:val="37"/>
        </w:trPr>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(994,687)</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(13,280)</w:t>
            </w:r>
          </w:p>
        </w:tc>
        <w:tc>
          <w:tcPr>
            <w:tcW w:w="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(129,325)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12,212</w:t>
            </w:r>
          </w:p>
        </w:tc>
        <w:tc>
          <w:tcPr>
            <w:tcW w:w="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(117,113)</w:t>
            </w:r>
          </w:p>
        </w:tc>
        <w:tc>
          <w:tcPr>
            <w:tcW w:w="0" w:type="dxa"/>
            <w:vAlign w:val="bottom"/>
          </w:tcPr>
          <w:p>
            <w:pPr>
              <w:spacing w:after="0"/>
              <w:rPr>
                <w:sz w:val="1"/>
                <w:szCs w:val="1"/>
                <w:color w:val="auto"/>
              </w:rPr>
            </w:pPr>
          </w:p>
        </w:tc>
      </w:tr>
      <w:tr>
        <w:trPr>
          <w:trHeight w:val="37"/>
        </w:trPr>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5320" w:space="80"/>
            <w:col w:w="5080"/>
          </w:cols>
          <w:pgMar w:left="32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ind w:right="8760" w:firstLine="8"/>
        <w:spacing w:after="0" w:line="276" w:lineRule="auto"/>
        <w:tabs>
          <w:tab w:leader="none" w:pos="83"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Restated (refer to Note 2(c)) * Amounts less than US$0.5</w:t>
      </w:r>
    </w:p>
    <w:p>
      <w:pPr>
        <w:spacing w:after="0" w:line="311"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380" w:type="dxa"/>
            <w:vAlign w:val="bottom"/>
          </w:tcPr>
          <w:p>
            <w:pPr>
              <w:spacing w:after="0"/>
              <w:rPr>
                <w:sz w:val="10"/>
                <w:szCs w:val="10"/>
                <w:color w:val="auto"/>
              </w:rPr>
            </w:pP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3"/>
            <w:vMerge w:val="continue"/>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1"/>
        </w:trPr>
        <w:tc>
          <w:tcPr>
            <w:tcW w:w="138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continue"/>
          </w:tcPr>
          <w:p>
            <w:pPr>
              <w:spacing w:after="0"/>
              <w:rPr>
                <w:sz w:val="7"/>
                <w:szCs w:val="7"/>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 ordinary</w:t>
            </w:r>
          </w:p>
        </w:tc>
        <w:tc>
          <w:tcPr>
            <w:tcW w:w="1060" w:type="dxa"/>
            <w:vAlign w:val="bottom"/>
            <w:gridSpan w:val="2"/>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75"/>
        </w:trPr>
        <w:tc>
          <w:tcPr>
            <w:tcW w:w="1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vMerge w:val="continue"/>
          </w:tcPr>
          <w:p>
            <w:pPr>
              <w:spacing w:after="0"/>
              <w:rPr>
                <w:sz w:val="9"/>
                <w:szCs w:val="9"/>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4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106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rPr>
              <w:t>interests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tcPr>
          <w:p>
            <w:pPr>
              <w:ind w:left="280"/>
              <w:spacing w:after="0" w:line="133" w:lineRule="exact"/>
              <w:rPr>
                <w:sz w:val="20"/>
                <w:szCs w:val="20"/>
                <w:color w:val="auto"/>
              </w:rPr>
            </w:pPr>
            <w:r>
              <w:rPr>
                <w:rFonts w:ascii="Times New Roman" w:cs="Times New Roman" w:eastAsia="Times New Roman" w:hAnsi="Times New Roman"/>
                <w:sz w:val="14"/>
                <w:szCs w:val="14"/>
                <w:b w:val="1"/>
                <w:bCs w:val="1"/>
                <w:color w:val="auto"/>
              </w:rPr>
              <w:t>of</w:t>
            </w:r>
          </w:p>
        </w:tc>
        <w:tc>
          <w:tcPr>
            <w:tcW w:w="6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4"/>
                <w:szCs w:val="14"/>
                <w:b w:val="1"/>
                <w:bCs w:val="1"/>
                <w:color w:val="auto"/>
              </w:rPr>
              <w:t>loss</w:t>
            </w:r>
          </w:p>
        </w:tc>
        <w:tc>
          <w:tcPr>
            <w:tcW w:w="98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of the</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Pr>
          <w:p>
            <w:pPr>
              <w:spacing w:after="0"/>
              <w:rPr>
                <w:sz w:val="16"/>
                <w:szCs w:val="16"/>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r>
              <w:rPr>
                <w:rFonts w:ascii="Times New Roman" w:cs="Times New Roman" w:eastAsia="Times New Roman" w:hAnsi="Times New Roman"/>
                <w:sz w:val="18"/>
                <w:szCs w:val="18"/>
                <w:b w:val="1"/>
                <w:bCs w:val="1"/>
                <w:color w:val="auto"/>
                <w:vertAlign w:val="superscript"/>
              </w:rPr>
              <w:t>1</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288,989,049</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48,960,916</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878,640</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(994,687)</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(13,280)</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(129,325)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12,212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(117,113)</w:t>
            </w:r>
          </w:p>
        </w:tc>
        <w:tc>
          <w:tcPr>
            <w:tcW w:w="0" w:type="dxa"/>
            <w:vAlign w:val="bottom"/>
          </w:tcPr>
          <w:p>
            <w:pPr>
              <w:spacing w:after="0"/>
              <w:rPr>
                <w:sz w:val="1"/>
                <w:szCs w:val="1"/>
                <w:color w:val="auto"/>
              </w:rPr>
            </w:pPr>
          </w:p>
        </w:tc>
      </w:tr>
      <w:tr>
        <w:trPr>
          <w:trHeight w:val="193"/>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(129,765)</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(129,765)</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(137,751)</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Combination of a</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subsidiary under</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control</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3.a)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Suzhou</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Photon-Matrix</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3.c)</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 (Note 3.c)</w:t>
            </w:r>
          </w:p>
        </w:tc>
        <w:tc>
          <w:tcPr>
            <w:tcW w:w="82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ordinary shares</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under 2022 Share</w:t>
            </w:r>
          </w:p>
        </w:tc>
        <w:tc>
          <w:tcPr>
            <w:tcW w:w="8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Incentive Plan</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7,180,061</w:t>
            </w:r>
          </w:p>
        </w:tc>
        <w:tc>
          <w:tcPr>
            <w:tcW w:w="6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ordinary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(5,003,000)</w:t>
            </w: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5,003,000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19)</w:t>
            </w:r>
          </w:p>
        </w:tc>
        <w:tc>
          <w:tcPr>
            <w:tcW w:w="82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net of</w:t>
            </w:r>
          </w:p>
        </w:tc>
        <w:tc>
          <w:tcPr>
            <w:tcW w:w="8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nil income 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620" w:type="dxa"/>
            <w:vAlign w:val="bottom"/>
            <w:tcBorders>
              <w:bottom w:val="single" w:sz="8" w:color="CCEEFF"/>
            </w:tcBorders>
            <w:gridSpan w:val="2"/>
            <w:vMerge w:val="continue"/>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0" w:type="dxa"/>
            <w:vAlign w:val="bottom"/>
          </w:tcPr>
          <w:p>
            <w:pPr>
              <w:spacing w:after="0"/>
              <w:rPr>
                <w:sz w:val="1"/>
                <w:szCs w:val="1"/>
                <w:color w:val="auto"/>
              </w:rPr>
            </w:pPr>
          </w:p>
        </w:tc>
      </w:tr>
      <w:tr>
        <w:trPr>
          <w:trHeight w:val="158"/>
        </w:trPr>
        <w:tc>
          <w:tcPr>
            <w:tcW w:w="138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291,166,110</w:t>
            </w: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48,960,916</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5,003,000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(1,019)</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895,010</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(1,124,452)</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(9,209)</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(239,668)</w:t>
            </w:r>
          </w:p>
        </w:tc>
        <w:tc>
          <w:tcPr>
            <w:tcW w:w="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1,965</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(237,703)</w:t>
            </w:r>
          </w:p>
        </w:tc>
        <w:tc>
          <w:tcPr>
            <w:tcW w:w="0" w:type="dxa"/>
            <w:vAlign w:val="bottom"/>
          </w:tcPr>
          <w:p>
            <w:pPr>
              <w:spacing w:after="0"/>
              <w:rPr>
                <w:sz w:val="1"/>
                <w:szCs w:val="1"/>
                <w:color w:val="auto"/>
              </w:rPr>
            </w:pPr>
          </w:p>
        </w:tc>
      </w:tr>
      <w:tr>
        <w:trPr>
          <w:trHeight w:val="190"/>
        </w:trPr>
        <w:tc>
          <w:tcPr>
            <w:tcW w:w="1380" w:type="dxa"/>
            <w:vAlign w:val="bottom"/>
          </w:tcPr>
          <w:p>
            <w:pPr>
              <w:ind w:left="180"/>
              <w:spacing w:after="0" w:line="190"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8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45" w:lineRule="exact"/>
        <w:rPr>
          <w:sz w:val="20"/>
          <w:szCs w:val="20"/>
          <w:color w:val="auto"/>
        </w:rPr>
      </w:pPr>
    </w:p>
    <w:p>
      <w:pPr>
        <w:ind w:right="9520" w:firstLine="8"/>
        <w:spacing w:after="0" w:line="297" w:lineRule="auto"/>
        <w:tabs>
          <w:tab w:leader="none" w:pos="83"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Restated (refer to Note 2(c)) * Amounts less than US$0.5</w:t>
      </w: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 deficit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B Ordinary Shares</w:t>
            </w:r>
          </w:p>
        </w:tc>
        <w:tc>
          <w:tcPr>
            <w:tcW w:w="15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attributable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to ordinary</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96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2"/>
            <w:vMerge w:val="restart"/>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96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3"/>
              </w:rPr>
              <w:t>interests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6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vMerge w:val="continue"/>
          </w:tcPr>
          <w:p>
            <w:pPr>
              <w:spacing w:after="0"/>
              <w:rPr>
                <w:sz w:val="6"/>
                <w:szCs w:val="6"/>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vMerge w:val="continue"/>
          </w:tcPr>
          <w:p>
            <w:pPr>
              <w:spacing w:after="0"/>
              <w:rPr>
                <w:sz w:val="6"/>
                <w:szCs w:val="6"/>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of the</w:t>
            </w: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6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6"/>
                <w:szCs w:val="16"/>
                <w:b w:val="1"/>
                <w:bCs w:val="1"/>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291,166,110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48,960,916</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5,003,000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895,010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(1,124,452)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(9,209)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(239,668)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(237,703)</w:t>
            </w:r>
          </w:p>
        </w:tc>
        <w:tc>
          <w:tcPr>
            <w:tcW w:w="0" w:type="dxa"/>
            <w:vAlign w:val="bottom"/>
          </w:tcPr>
          <w:p>
            <w:pPr>
              <w:spacing w:after="0"/>
              <w:rPr>
                <w:sz w:val="1"/>
                <w:szCs w:val="1"/>
                <w:color w:val="auto"/>
              </w:rPr>
            </w:pPr>
          </w:p>
        </w:tc>
      </w:tr>
      <w:tr>
        <w:trPr>
          <w:trHeight w:val="173"/>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(66,043)</w:t>
            </w:r>
          </w:p>
        </w:tc>
        <w:tc>
          <w:tcPr>
            <w:tcW w:w="8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(68,939)</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 20)</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13,341</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13,341</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13,341</w:t>
            </w:r>
          </w:p>
        </w:tc>
        <w:tc>
          <w:tcPr>
            <w:tcW w:w="0" w:type="dxa"/>
            <w:vAlign w:val="bottom"/>
          </w:tcPr>
          <w:p>
            <w:pPr>
              <w:spacing w:after="0"/>
              <w:rPr>
                <w:sz w:val="1"/>
                <w:szCs w:val="1"/>
                <w:color w:val="auto"/>
              </w:rPr>
            </w:pPr>
          </w:p>
        </w:tc>
      </w:tr>
      <w:tr>
        <w:trPr>
          <w:trHeight w:val="157"/>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ordinary</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under 2022 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Incentive Plan (Note 19)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8,130,272</w:t>
            </w:r>
          </w:p>
        </w:tc>
        <w:tc>
          <w:tcPr>
            <w:tcW w:w="80" w:type="dxa"/>
            <w:vAlign w:val="bottom"/>
          </w:tcPr>
          <w:p>
            <w:pPr>
              <w:spacing w:after="0"/>
              <w:rPr>
                <w:sz w:val="15"/>
                <w:szCs w:val="15"/>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Pr>
          <w:p>
            <w:pPr>
              <w:spacing w:after="0"/>
              <w:rPr>
                <w:sz w:val="15"/>
                <w:szCs w:val="15"/>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ordinary</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shares upon follow-on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public offering (Note 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25,000,000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42,578</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42,578</w:t>
            </w:r>
          </w:p>
        </w:tc>
        <w:tc>
          <w:tcPr>
            <w:tcW w:w="0" w:type="dxa"/>
            <w:vAlign w:val="bottom"/>
          </w:tcPr>
          <w:p>
            <w:pPr>
              <w:spacing w:after="0"/>
              <w:rPr>
                <w:sz w:val="1"/>
                <w:szCs w:val="1"/>
                <w:color w:val="auto"/>
              </w:rPr>
            </w:pPr>
          </w:p>
        </w:tc>
      </w:tr>
      <w:tr>
        <w:trPr>
          <w:trHeight w:val="157"/>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Re-designated ordinary shares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from class B to Class 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 19)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3,000,000</w:t>
            </w:r>
          </w:p>
        </w:tc>
        <w:tc>
          <w:tcPr>
            <w:tcW w:w="80" w:type="dxa"/>
            <w:vAlign w:val="bottom"/>
          </w:tcPr>
          <w:p>
            <w:pPr>
              <w:spacing w:after="0"/>
              <w:rPr>
                <w:sz w:val="15"/>
                <w:szCs w:val="15"/>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(3,000,000)</w:t>
            </w:r>
          </w:p>
        </w:tc>
        <w:tc>
          <w:tcPr>
            <w:tcW w:w="80" w:type="dxa"/>
            <w:vAlign w:val="bottom"/>
          </w:tcPr>
          <w:p>
            <w:pPr>
              <w:spacing w:after="0"/>
              <w:rPr>
                <w:sz w:val="15"/>
                <w:szCs w:val="15"/>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Repurchase of ordinary shares</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 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(20,897,751)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20,897,751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(28,985)</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(28,985)</w:t>
            </w:r>
          </w:p>
        </w:tc>
        <w:tc>
          <w:tcPr>
            <w:tcW w:w="0" w:type="dxa"/>
            <w:vAlign w:val="bottom"/>
          </w:tcPr>
          <w:p>
            <w:pPr>
              <w:spacing w:after="0"/>
              <w:rPr>
                <w:sz w:val="1"/>
                <w:szCs w:val="1"/>
                <w:color w:val="auto"/>
              </w:rPr>
            </w:pPr>
          </w:p>
        </w:tc>
      </w:tr>
      <w:tr>
        <w:trPr>
          <w:trHeight w:val="157"/>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ordinary</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7"/>
              </w:rPr>
              <w:t>shares for convertible notes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conversion (Note 19)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4,107,146</w:t>
            </w:r>
          </w:p>
        </w:tc>
        <w:tc>
          <w:tcPr>
            <w:tcW w:w="80" w:type="dxa"/>
            <w:vAlign w:val="bottom"/>
          </w:tcPr>
          <w:p>
            <w:pPr>
              <w:spacing w:after="0"/>
              <w:rPr>
                <w:sz w:val="15"/>
                <w:szCs w:val="15"/>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7,664</w:t>
            </w:r>
          </w:p>
        </w:tc>
        <w:tc>
          <w:tcPr>
            <w:tcW w:w="80" w:type="dxa"/>
            <w:vAlign w:val="bottom"/>
          </w:tcPr>
          <w:p>
            <w:pPr>
              <w:spacing w:after="0"/>
              <w:rPr>
                <w:sz w:val="15"/>
                <w:szCs w:val="15"/>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7,664</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7,664</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Waiver of loan receivables</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from a related party under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control (Note 28)</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(873)</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0" w:type="dxa"/>
            <w:vAlign w:val="bottom"/>
          </w:tcPr>
          <w:p>
            <w:pPr>
              <w:spacing w:after="0"/>
              <w:rPr>
                <w:sz w:val="1"/>
                <w:szCs w:val="1"/>
                <w:color w:val="auto"/>
              </w:rPr>
            </w:pPr>
          </w:p>
        </w:tc>
      </w:tr>
      <w:tr>
        <w:trPr>
          <w:trHeight w:val="157"/>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change of</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debt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(Note 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 net of nil</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310,505,777</w:t>
            </w:r>
          </w:p>
        </w:tc>
        <w:tc>
          <w:tcPr>
            <w:tcW w:w="80" w:type="dxa"/>
            <w:vAlign w:val="bottom"/>
          </w:tcPr>
          <w:p>
            <w:pPr>
              <w:spacing w:after="0"/>
              <w:rPr>
                <w:sz w:val="11"/>
                <w:szCs w:val="11"/>
                <w:color w:val="auto"/>
              </w:rPr>
            </w:pPr>
          </w:p>
        </w:tc>
        <w:tc>
          <w:tcPr>
            <w:tcW w:w="54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45,960,916</w:t>
            </w:r>
          </w:p>
        </w:tc>
        <w:tc>
          <w:tcPr>
            <w:tcW w:w="80" w:type="dxa"/>
            <w:vAlign w:val="bottom"/>
          </w:tcPr>
          <w:p>
            <w:pPr>
              <w:spacing w:after="0"/>
              <w:rPr>
                <w:sz w:val="11"/>
                <w:szCs w:val="11"/>
                <w:color w:val="auto"/>
              </w:rPr>
            </w:pPr>
          </w:p>
        </w:tc>
        <w:tc>
          <w:tcPr>
            <w:tcW w:w="5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vMerge w:val="restart"/>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25,900,751</w:t>
            </w:r>
          </w:p>
        </w:tc>
        <w:tc>
          <w:tcPr>
            <w:tcW w:w="80" w:type="dxa"/>
            <w:vAlign w:val="bottom"/>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(30,004)</w:t>
            </w:r>
          </w:p>
        </w:tc>
        <w:tc>
          <w:tcPr>
            <w:tcW w:w="80" w:type="dxa"/>
            <w:vAlign w:val="bottom"/>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958,052</w:t>
            </w:r>
          </w:p>
        </w:tc>
        <w:tc>
          <w:tcPr>
            <w:tcW w:w="8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(1,190,495)</w:t>
            </w:r>
          </w:p>
        </w:tc>
        <w:tc>
          <w:tcPr>
            <w:tcW w:w="80" w:type="dxa"/>
            <w:vAlign w:val="bottom"/>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(20,219)</w:t>
            </w:r>
          </w:p>
        </w:tc>
        <w:tc>
          <w:tcPr>
            <w:tcW w:w="80" w:type="dxa"/>
            <w:vAlign w:val="bottom"/>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(282,664)</w:t>
            </w:r>
          </w:p>
        </w:tc>
        <w:tc>
          <w:tcPr>
            <w:tcW w:w="80" w:type="dxa"/>
            <w:vAlign w:val="bottom"/>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(811)</w:t>
            </w:r>
          </w:p>
        </w:tc>
        <w:tc>
          <w:tcPr>
            <w:tcW w:w="100" w:type="dxa"/>
            <w:vAlign w:val="bottom"/>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(283,475)</w:t>
            </w: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ted (refer to Note 2(c))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unts less than US$0.5</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(137,751)</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(68,939)</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used in operating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Reversal of provision for prepayments and other current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Write-down of inventories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19,056</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13,341</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20,570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19,871</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of carrying amount of right-of-use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(gain) from equity method 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(5,611)</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equity securities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Accretion of interest 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derivative financial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derivative financial liabilities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Loss/(gain) on disposal of property and equipment, and intangible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foreign exchange losses/(gains)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property and equipment and intangible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interest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7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 net of effects of consolidation /</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7"/>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deconsolidation of subsidiaries: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receivable - third parties, net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14,124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15,074</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 related parties,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(31,935)</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due from related 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(30,819)</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Prepayments and other current assets and other non-current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 third 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(39,339)</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(27,552)</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41,899</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 third parties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liabilities - related 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(18,242)</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due to related parties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20,396</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 and income tax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(17,244)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w:t>
            </w:r>
          </w:p>
        </w:tc>
      </w:tr>
      <w:tr>
        <w:trPr>
          <w:trHeight w:val="192"/>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from equity method investees, return on investment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86"/>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(172,440)</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(59,980)</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(94,391)</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ectPr>
          <w:pgSz w:w="11900" w:h="16838" w:orient="portrait"/>
          <w:cols w:equalWidth="0" w:num="1">
            <w:col w:w="10139"/>
          </w:cols>
          <w:pgMar w:left="320" w:top="337" w:right="1440" w:bottom="1440" w:gutter="0" w:footer="0" w:header="0"/>
        </w:sectPr>
      </w:pPr>
    </w:p>
    <w:p>
      <w:pPr>
        <w:spacing w:after="0" w:line="14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US$</w:t>
            </w:r>
          </w:p>
        </w:tc>
        <w:tc>
          <w:tcPr>
            <w:tcW w:w="15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acquisition of short-term investments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(40,936)</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(38,192)</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redemption of short-term 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42,934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25,754</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advances to related parties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collection of loans to related parties and advances to related 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acquisition of equity method investments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sale of equity method 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19,899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 of Hubei Dongjun, net of cash acquired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for acquisition of Suzhou Photon-matrix, net of cash acquired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from partial sale of equity interest in SiEngine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17,947</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sale of Zenseact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available-for-sale debt investments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(42,979)</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for equity securities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and intangible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(15,907)</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(12,168)</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disposal of property and equipment, and intangible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from equity method investees in excess of cumulative earnings</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87,265</w:t>
            </w: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(8,121)</w:t>
            </w: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(70,482)</w:t>
            </w:r>
          </w:p>
        </w:tc>
      </w:tr>
      <w:tr>
        <w:trPr>
          <w:trHeight w:val="37"/>
        </w:trPr>
        <w:tc>
          <w:tcPr>
            <w:tcW w:w="50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short-term borrowings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208,792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222,432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328,550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short-term borrowings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(163,237)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(201,554)</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(216,645)</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from related parties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83,381</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188,495</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Repayments of borrowings from related 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(62,360)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(153,972)</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an entity under common control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payment not soon after purchase of intangible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noncontrolling interests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payment not soon after a business acquisition of Hubei Dongjun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option exercises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follow-on public offering cost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repurchase of ordinary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108,500</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for issuance costs of convertible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convertible notes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costs of the Merger</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(11,289)</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conditional government grants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6,973</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r>
      <w:tr>
        <w:trPr>
          <w:trHeight w:val="186"/>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40,619</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36,355</w:t>
            </w: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203,863</w:t>
            </w:r>
          </w:p>
        </w:tc>
      </w:tr>
      <w:tr>
        <w:trPr>
          <w:trHeight w:val="37"/>
        </w:trPr>
        <w:tc>
          <w:tcPr>
            <w:tcW w:w="5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 changes on cash and restricted cash</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r>
      <w:tr>
        <w:trPr>
          <w:trHeight w:val="186"/>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restricted cash</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(46,586)</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(33,929)</w:t>
            </w: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43,092</w:t>
            </w:r>
          </w:p>
        </w:tc>
      </w:tr>
      <w:tr>
        <w:trPr>
          <w:trHeight w:val="37"/>
        </w:trPr>
        <w:tc>
          <w:tcPr>
            <w:tcW w:w="5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130,679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84,093</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50,164</w:t>
            </w:r>
          </w:p>
        </w:tc>
      </w:tr>
      <w:tr>
        <w:trPr>
          <w:trHeight w:val="218"/>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84,093</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50,164</w:t>
            </w:r>
          </w:p>
        </w:tc>
        <w:tc>
          <w:tcPr>
            <w:tcW w:w="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93,256</w:t>
            </w:r>
          </w:p>
        </w:tc>
      </w:tr>
      <w:tr>
        <w:trPr>
          <w:trHeight w:val="25"/>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120" w:type="dxa"/>
            <w:vAlign w:val="bottom"/>
            <w:gridSpan w:val="3"/>
          </w:tcPr>
          <w:p>
            <w:pPr>
              <w:ind w:left="5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5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Reconciliation of cash and restricted cash:</w:t>
            </w:r>
          </w:p>
        </w:tc>
        <w:tc>
          <w:tcPr>
            <w:tcW w:w="9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44,250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87,118</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r>
      <w:tr>
        <w:trPr>
          <w:trHeight w:val="21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and restricted cash</w:t>
            </w:r>
          </w:p>
        </w:tc>
        <w:tc>
          <w:tcPr>
            <w:tcW w:w="9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84,093</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50,164</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93,256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9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paid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23,276</w:t>
            </w: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for purchase of property and equipment, and intangible assets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18,485</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w:t>
            </w: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Receivables from partial sale of equity interest in SiEngine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17,947</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from shares issued upon exercise of options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Transfer of notes receivable as part of consideration to purchase intangible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for issuance cost of convertible notes payable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ordinary shares through conversion of convertible notes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w:t>
            </w:r>
          </w:p>
        </w:tc>
      </w:tr>
      <w:tr>
        <w:trPr>
          <w:trHeight w:val="37"/>
        </w:trPr>
        <w:tc>
          <w:tcPr>
            <w:tcW w:w="5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Waiver of loan receivables from a related party under common control</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Debt assignment and offset with related parties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Restated (refer to Note 2(c))</w:t>
      </w:r>
    </w:p>
    <w:p>
      <w:pPr>
        <w:spacing w:after="0" w:line="2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organization</w:t>
      </w:r>
    </w:p>
    <w:p>
      <w:pPr>
        <w:spacing w:after="0" w:line="225"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left="340" w:right="60"/>
        <w:spacing w:after="0" w:line="254" w:lineRule="auto"/>
        <w:rPr>
          <w:sz w:val="20"/>
          <w:szCs w:val="20"/>
          <w:color w:val="auto"/>
        </w:rPr>
      </w:pPr>
      <w:r>
        <w:rPr>
          <w:rFonts w:ascii="Times New Roman" w:cs="Times New Roman" w:eastAsia="Times New Roman" w:hAnsi="Times New Roman"/>
          <w:sz w:val="18"/>
          <w:szCs w:val="18"/>
          <w:color w:val="auto"/>
        </w:rPr>
        <w:t>ECARX Holdings Inc. (“ECARX” or the “Company’) was incorporated as an exempted company with limited liability in the Cayman Islands on November 12, 2019. The Company along with its subsidiaries is collectively referred to as “the Group”. The terms “we,” “our,” and “us” refer to the Group, unless the context indicates otherwise. We are a global mobility-tech company partnering with original equipment manufacturers (“OEM”s) to reshape the automotive landscape as the industry transitions to an electrified and physical Artificial Intelligence (“AI”) future. As OEMs develop new vehicle platforms from the ground up, we are developing a full-stack solution - central computer, system on a chip (“SoC”) and software to help continuously improve the in-car user experience. Our products continue to shape the interaction between people and vehicles by rapidly advancing the technology at the heart of smart mobility. We are engaged in the sales of SoC core modules, automotive computing platform products, software stacks as well as the provision of research and development services.</w:t>
      </w:r>
    </w:p>
    <w:p>
      <w:pPr>
        <w:spacing w:after="0" w:line="1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Merger</w:t>
      </w:r>
    </w:p>
    <w:p>
      <w:pPr>
        <w:spacing w:after="0" w:line="22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On December 20, 2022 (the “Closing Date”), the Company consummated its merger (“Merger”) with COVA Acquisition Corp. (“COVA”) pursuant to a merger agreement dated May 26, 2022. The ordinary shares of the Company and Public Warrants are listed on the Nasdaq Stock Market LLC, or “Nasdaq”, under the trading symbols “ECX” and “ECXWW”, respectively, on December 21, 2022.</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(“U.S. GAAP”).</w:t>
      </w:r>
    </w:p>
    <w:p>
      <w:pPr>
        <w:spacing w:after="0" w:line="225"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76"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Company has incurred losses since its inception. As of December 31, 2025, the Company had an accumulated deficit of US$1,190,495 and its consolidated current liabilities exceeded current assets in the amount of US$339,829. In addition, the Company recorded net cash used in operating activities in the amount of US$94,391 for the year ended December 31, 2025. The Company will require additional liquidity to continue its operations over the next 12 months.</w:t>
      </w:r>
    </w:p>
    <w:p>
      <w:pPr>
        <w:spacing w:after="0" w:line="193" w:lineRule="exact"/>
        <w:rPr>
          <w:sz w:val="20"/>
          <w:szCs w:val="20"/>
          <w:color w:val="auto"/>
        </w:rPr>
      </w:pPr>
    </w:p>
    <w:p>
      <w:pPr>
        <w:ind w:left="340"/>
        <w:spacing w:after="0" w:line="237" w:lineRule="auto"/>
        <w:rPr>
          <w:sz w:val="20"/>
          <w:szCs w:val="20"/>
          <w:color w:val="auto"/>
        </w:rPr>
      </w:pPr>
      <w:r>
        <w:rPr>
          <w:rFonts w:ascii="Times New Roman" w:cs="Times New Roman" w:eastAsia="Times New Roman" w:hAnsi="Times New Roman"/>
          <w:sz w:val="18"/>
          <w:szCs w:val="18"/>
          <w:color w:val="auto"/>
        </w:rPr>
        <w:t>Historically, the Company had relied principally on proceeds from the issuance of redeemable convertible preferred shares, convertible notes, and bank and related party borrowings to finance its operations and business expansion. The Company has evaluated plans to continue as a going concern which include, but are not limited to, (i) reducing discretionary capital and operating expenses; (ii) obtaining additional facilities from banks and renewal of existing bank borrowings; (iii) issuance of new equity and convertible debt securities; (iv) obtaining extended financial support from controlling shareholder and related parties; and (v) accelerating pace of collections of amounts due from related and third parties to optimize operational efficiency. Subsequent to December 31, 2025, the Company has secured a new equity issuance of Class A ordinary shares totaling US$45.6 million from Geely Investment Holding Ltd. and issued US$40 million of convertible notes pursuant to the 2025 Convertible Note Purchase Agreement. Notwithstanding this, feasibility of some of these plans is contingent upon factors outside of the control of the Company and, as such, the Company concluded that substantial doubt about its ability to continue as a going concern has not been alleviated as of the reporting date.</w:t>
      </w:r>
    </w:p>
    <w:p>
      <w:pPr>
        <w:spacing w:after="0" w:line="199"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do not include any adjustments to the carrying amounts and classification of assets, liabilities, and reported expenses that may be necessary if the Company were unable to continue as a going concern.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3" w:name="page144"/>
    <w:bookmarkEnd w:id="143"/>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Principles of consolidation</w:t>
      </w:r>
    </w:p>
    <w:p>
      <w:pPr>
        <w:spacing w:after="0" w:line="22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consolidated subsidiaries. All intercompany transactions and balances among the Company and its consolidated subsidiaries have been eliminated upon consolidation. Noncontrolling interests are separately presented as a component of shareholders’ deficit in the consolidated financial statements.</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Change in reporting currency</w:t>
      </w:r>
    </w:p>
    <w:p>
      <w:pPr>
        <w:spacing w:after="0" w:line="229" w:lineRule="exact"/>
        <w:rPr>
          <w:sz w:val="20"/>
          <w:szCs w:val="20"/>
          <w:color w:val="auto"/>
        </w:rPr>
      </w:pPr>
    </w:p>
    <w:p>
      <w:pPr>
        <w:ind w:left="340" w:right="260"/>
        <w:spacing w:after="0" w:line="261" w:lineRule="auto"/>
        <w:rPr>
          <w:sz w:val="20"/>
          <w:szCs w:val="20"/>
          <w:color w:val="auto"/>
        </w:rPr>
      </w:pPr>
      <w:r>
        <w:rPr>
          <w:rFonts w:ascii="Times New Roman" w:cs="Times New Roman" w:eastAsia="Times New Roman" w:hAnsi="Times New Roman"/>
          <w:sz w:val="18"/>
          <w:szCs w:val="18"/>
          <w:color w:val="auto"/>
        </w:rPr>
        <w:t>With effect from January 1, 2025, the Company decided to change its reporting currency from Chinese Renminbi (“RMB”) to U.S. dollars (“US$”). This change was made as a result of the Company’s assessment that the change will help provide a clearer understanding of the Group’s financial performance to investors and improve comparability of the Group’s performance to peers, particularly due to the Group’s ongoing international expansion.</w:t>
      </w:r>
    </w:p>
    <w:p>
      <w:pPr>
        <w:spacing w:after="0" w:line="180" w:lineRule="exact"/>
        <w:rPr>
          <w:sz w:val="20"/>
          <w:szCs w:val="20"/>
          <w:color w:val="auto"/>
        </w:rPr>
      </w:pPr>
    </w:p>
    <w:p>
      <w:pPr>
        <w:jc w:val="both"/>
        <w:ind w:left="340" w:right="160"/>
        <w:spacing w:after="0" w:line="261" w:lineRule="auto"/>
        <w:rPr>
          <w:sz w:val="20"/>
          <w:szCs w:val="20"/>
          <w:color w:val="auto"/>
        </w:rPr>
      </w:pPr>
      <w:r>
        <w:rPr>
          <w:rFonts w:ascii="Times New Roman" w:cs="Times New Roman" w:eastAsia="Times New Roman" w:hAnsi="Times New Roman"/>
          <w:sz w:val="18"/>
          <w:szCs w:val="18"/>
          <w:color w:val="auto"/>
        </w:rPr>
        <w:t>The change in the reporting currency is a voluntary change and is accounted for retrospectively. The comparative financial information presented has been translated into the new reporting currency as if the Group has always used US$ as the reporting currency. Translation gains and losses from the application of the US$ as the reporting currency are included as part of the cumulative foreign currency translation adjustment, which is reported as a component of shareholders’ deficit under accumulated other comprehensive loss.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16" w:lineRule="exact"/>
        <w:rPr>
          <w:sz w:val="20"/>
          <w:szCs w:val="20"/>
          <w:color w:val="auto"/>
        </w:rPr>
      </w:pPr>
    </w:p>
    <w:p>
      <w:pPr>
        <w:ind w:left="340" w:right="100"/>
        <w:spacing w:after="0" w:line="23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Significant accounting estimates include, but not limited to, the fair values of assets acquired and liabilities assumed and the consideration transferred in a business combination; expected credit losses for accounts receivable and amounts due from related parties; recoverability of contract cost assets included in other current assets and non-current assets; realizability of inventories; accrual for warranty obligations; useful lives and recoverability of property, equipment and intangible assets and operating lease right-of-use assets; impairment of goodwill; recoverability and fair value of long-term investments; fair values of share-based compensation awards; and incremental borrowing rates of the Group’s leases. Changes in facts and circumstances may result in these estimates to be revised. Actual results could differ from those estimates, and as such, differences may be material to the consolidated financial statements.</w:t>
      </w:r>
    </w:p>
    <w:p>
      <w:pPr>
        <w:spacing w:after="0" w:line="2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tab/>
        <w:t>Cash and restricted cash</w:t>
      </w:r>
    </w:p>
    <w:p>
      <w:pPr>
        <w:spacing w:after="0" w:line="229"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Cash consists of cash at bank. Restricted cash represents cash that cannot be withdrawn without the permission of third parties. The Group’s restricted cash are bank deposits pledged for notes payable and restricted cash due to litigation.</w:t>
      </w:r>
    </w:p>
    <w:p>
      <w:pPr>
        <w:spacing w:after="0" w:line="158"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ind w:left="340" w:hanging="323"/>
        <w:spacing w:after="0" w:line="261" w:lineRule="auto"/>
        <w:rPr>
          <w:sz w:val="20"/>
          <w:szCs w:val="20"/>
          <w:color w:val="auto"/>
        </w:rPr>
      </w:pPr>
      <w:r>
        <w:rPr>
          <w:rFonts w:ascii="Times New Roman" w:cs="Times New Roman" w:eastAsia="Times New Roman" w:hAnsi="Times New Roman"/>
          <w:sz w:val="18"/>
          <w:szCs w:val="18"/>
          <w:color w:val="auto"/>
        </w:rPr>
        <w:t>The Group’s short-term investments represent the Group’s fixed rate debt securities issued by financial institutions which are redeemable at the option of the Group on any working day or have the original maturities of less than twelve months. The Group’s short-term investments are classified as held-to-maturity based on the positive intent and ability to hold the securities to maturity. Income related to these securities is included in interest income in the consolidated statements of comprehensive loss.</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tab/>
        <w:t>Accounts receivable and current expected credit losses</w:t>
      </w:r>
    </w:p>
    <w:p>
      <w:pPr>
        <w:spacing w:after="0" w:line="229"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Accounts receivable represent those receivables derived in the ordinary course of business when the Group has sold the products or provided services to its customers and when its right to consideration is unconditional (i.e., only the passage of time is required before payment is due). Accounts receivable are presented net of allowance for credit losses.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Expected credit losses include losses expected based on known credit issues with specific customers as well as a general expected credit loss allowance based on relevant information, including historical loss rates, current conditions, and reasonable economic forecasts that affect collectability. The Group updates allowance for credit losses on a quarterly basis with changes in the allowance recognized in the consolidated statements of comprehensive loss.</w:t>
      </w:r>
    </w:p>
    <w:p>
      <w:pPr>
        <w:spacing w:after="0" w:line="180" w:lineRule="exact"/>
        <w:rPr>
          <w:sz w:val="20"/>
          <w:szCs w:val="20"/>
          <w:color w:val="auto"/>
        </w:rPr>
      </w:pPr>
    </w:p>
    <w:p>
      <w:pPr>
        <w:jc w:val="both"/>
        <w:ind w:left="340" w:right="10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recorded into general and administrative expenses. Receivables which are deemed to be uncollectible are charged off against the allowance after all means of collection have been exhausted and the potential for recovery is considered remote. The Group does not have any off-balance-sheet credit exposure related to its customers.</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(h)</w:t>
        <w:tab/>
        <w:t>Notes receivable</w:t>
      </w:r>
    </w:p>
    <w:p>
      <w:pPr>
        <w:spacing w:after="0" w:line="229"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Notes receivable are primarily bank acceptance notes issued by reputable financial institutions that entitle the Group to receive the full face value amount from the financial institutions at maturity, which is typically six months from the date of issuance. The Group accepts bank acceptance notes from customers for products sold or services performed in the ordinary course of business.</w:t>
      </w:r>
    </w:p>
    <w:p>
      <w:pPr>
        <w:spacing w:after="0" w:line="172"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are accounted for using the moving weighted average method and are valued at the lower of cost and net realizable value. Net realizable value is the estimated selling price of the inventory in the ordinary course of business less reasonably predictable costs of completion, disposal and transportation.</w:t>
      </w:r>
    </w:p>
    <w:p>
      <w:pPr>
        <w:spacing w:after="0" w:line="176" w:lineRule="exact"/>
        <w:rPr>
          <w:sz w:val="20"/>
          <w:szCs w:val="20"/>
          <w:color w:val="auto"/>
        </w:rPr>
      </w:pPr>
    </w:p>
    <w:p>
      <w:pPr>
        <w:ind w:left="340" w:right="300"/>
        <w:spacing w:after="0" w:line="258" w:lineRule="auto"/>
        <w:rPr>
          <w:sz w:val="20"/>
          <w:szCs w:val="20"/>
          <w:color w:val="auto"/>
        </w:rPr>
      </w:pPr>
      <w:r>
        <w:rPr>
          <w:rFonts w:ascii="Times New Roman" w:cs="Times New Roman" w:eastAsia="Times New Roman" w:hAnsi="Times New Roman"/>
          <w:sz w:val="18"/>
          <w:szCs w:val="18"/>
          <w:color w:val="auto"/>
        </w:rPr>
        <w:t>Cost of work-in-process and finished goods comprise primarily direct materials and manufacturing charges from outsourced factories or owned factories. The Group identifies potentially slow-moving and obsolete inventories through physical counts, monitoring of inventories on hand and specific identification. The Group records inventory write-downs for excess or obsolete inventories based upon assumptions on current and future demand forecasts. If the inventory on hand is in excess of future demand forecast, the excess amounts are written off. Write-downs to inventory are recorded in the cost of revenues to reduce the carrying amount of any obsolete and excess inventories to their estimated net realizable value.</w:t>
      </w:r>
    </w:p>
    <w:p>
      <w:pPr>
        <w:spacing w:after="0" w:line="179" w:lineRule="exact"/>
        <w:rPr>
          <w:sz w:val="20"/>
          <w:szCs w:val="20"/>
          <w:color w:val="auto"/>
        </w:rPr>
      </w:pPr>
    </w:p>
    <w:p>
      <w:pPr>
        <w:ind w:left="420" w:hanging="412"/>
        <w:spacing w:after="0"/>
        <w:tabs>
          <w:tab w:leader="none" w:pos="4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The Group accounts for business combinations using the acquisition method, which requires the identification of the acquirer, the determination of the acquisition date and the allocation of the purchase price paid by the acquirer to the identifiable tangible and intangible assets acquired, the liabilities assumed, including any contingent consideration and any noncontrolling interest in the acquiree at their acquisition date fair values. Goodwill represents the excess of the purchase price over the fair value of net assets acquired, including the amount assigned to identifiable intangible assets. Identifiable intangible assets with finite lives are amortized over their expected useful lives. Acquisition-related costs are expensed in the periods in which the costs are incurred. The results of operations of acquired businesses are included in our consolidated financial statements from the acquisition date.</w:t>
      </w:r>
    </w:p>
    <w:p>
      <w:pPr>
        <w:spacing w:after="0" w:line="189" w:lineRule="exact"/>
        <w:rPr>
          <w:sz w:val="20"/>
          <w:szCs w:val="20"/>
          <w:color w:val="auto"/>
        </w:rPr>
      </w:pPr>
    </w:p>
    <w:p>
      <w:pPr>
        <w:ind w:left="340" w:right="60"/>
        <w:spacing w:after="0" w:line="312" w:lineRule="auto"/>
        <w:rPr>
          <w:sz w:val="20"/>
          <w:szCs w:val="20"/>
          <w:color w:val="auto"/>
        </w:rPr>
      </w:pPr>
      <w:r>
        <w:rPr>
          <w:rFonts w:ascii="Times New Roman" w:cs="Times New Roman" w:eastAsia="Times New Roman" w:hAnsi="Times New Roman"/>
          <w:sz w:val="17"/>
          <w:szCs w:val="17"/>
          <w:color w:val="auto"/>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loss.</w:t>
      </w:r>
    </w:p>
    <w:p>
      <w:pPr>
        <w:spacing w:after="0" w:line="1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ind w:left="340" w:right="180"/>
        <w:spacing w:after="0" w:line="261" w:lineRule="auto"/>
        <w:rPr>
          <w:sz w:val="20"/>
          <w:szCs w:val="20"/>
          <w:color w:val="auto"/>
        </w:rPr>
      </w:pPr>
      <w:r>
        <w:rPr>
          <w:rFonts w:ascii="Times New Roman" w:cs="Times New Roman" w:eastAsia="Times New Roman" w:hAnsi="Times New Roman"/>
          <w:sz w:val="18"/>
          <w:szCs w:val="18"/>
          <w:color w:val="auto"/>
        </w:rPr>
        <w:t>At acquisition date, the Group allocates goodwill to the reporting unit based on how it expects the reporting unit to benefit from the business combination. The Group evaluates goodwill for impairment at least annually, or as circumstances warrant. Goodwill is evaluated at the reporting unit level by comparing the fair value of the reporting unit with its carrying amount including goodwill. An impairment of goodwill exists if the carrying amount of the reporting unit exceeds its fair value. The impairment loss is the amount by which the carrying amount exceeds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reporting unit’s fair value, limited to the total amount of goodwill allocated to that reporting unit. The Group did not incur impairment charges for goodwill in the years ended December 31, 2024 and 2025, and the group had no goodwill prior to 2024.</w:t>
      </w:r>
    </w:p>
    <w:p>
      <w:pPr>
        <w:spacing w:after="0" w:line="158"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19"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The Group applies the equity method to account for equity interests in investees over which the Group has significant influence but does not own a majority equity interest or controls the investee otherwise.</w:t>
      </w:r>
    </w:p>
    <w:p>
      <w:pPr>
        <w:spacing w:after="0" w:line="162"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Under the equity method of accounting, the Group’s share of the investees’ results of operations is reported as (loss) gain from equity method investments in the consolidated statements of comprehensive loss.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investee.</w:t>
      </w:r>
    </w:p>
    <w:p>
      <w:pPr>
        <w:spacing w:after="0" w:line="193" w:lineRule="exact"/>
        <w:rPr>
          <w:sz w:val="20"/>
          <w:szCs w:val="20"/>
          <w:color w:val="auto"/>
        </w:rPr>
      </w:pPr>
    </w:p>
    <w:p>
      <w:pPr>
        <w:ind w:left="340" w:right="40"/>
        <w:spacing w:after="0" w:line="241" w:lineRule="auto"/>
        <w:rPr>
          <w:sz w:val="20"/>
          <w:szCs w:val="20"/>
          <w:color w:val="auto"/>
        </w:rPr>
      </w:pPr>
      <w:r>
        <w:rPr>
          <w:rFonts w:ascii="Times New Roman" w:cs="Times New Roman" w:eastAsia="Times New Roman" w:hAnsi="Times New Roman"/>
          <w:sz w:val="18"/>
          <w:szCs w:val="18"/>
          <w:color w:val="auto"/>
        </w:rPr>
        <w:t>Distributions received from an equity method investee are recognized as a reduction in the carrying amount of the investment. When such distributions reduce the carrying amount below zero, the Group accounts for the excess as a gain in (loss) gain from equity method investments in the consolidated statements of comprehensive loss, provided that (a) the distributions are not refundable by agreement or law, and (b) the Group is not liable for the investee’s obligations and is not committed or expected to provide financial support. The Group then suspends recognition of its share of subsequent investee income until the cumulative income equals the gain previously recognized. Otherwise, the excess distribution is recorded as a liability and the equity method continues to be applied.</w:t>
      </w:r>
    </w:p>
    <w:p>
      <w:pPr>
        <w:spacing w:after="0" w:line="197"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The Group recognizes an impairment loss when there is a decline in value below the carrying value of the equity method investment that is considered to be other-than-temporary. The process of assessing and determining whether impairment on an investment is other-than-temporary requires a significant amount of judgment. To determine whether an impairment is other-than-temporary, management considers whether it has the ability and intent to hold the investment until recovery and whether evidence indicating the carrying value of the investment is recoverable outweighs evidence to the contrary. Evidence considered in this assessment includes the reasons for the impairment, the severity and duration of the decline in value and any change in value subsequent to the period end.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19" w:lineRule="exact"/>
        <w:rPr>
          <w:sz w:val="20"/>
          <w:szCs w:val="20"/>
          <w:color w:val="auto"/>
        </w:rPr>
      </w:pPr>
    </w:p>
    <w:p>
      <w:pPr>
        <w:ind w:left="340" w:right="40"/>
        <w:spacing w:after="0" w:line="312" w:lineRule="auto"/>
        <w:rPr>
          <w:sz w:val="20"/>
          <w:szCs w:val="20"/>
          <w:color w:val="auto"/>
        </w:rPr>
      </w:pPr>
      <w:r>
        <w:rPr>
          <w:rFonts w:ascii="Times New Roman" w:cs="Times New Roman" w:eastAsia="Times New Roman" w:hAnsi="Times New Roman"/>
          <w:sz w:val="17"/>
          <w:szCs w:val="17"/>
          <w:color w:val="auto"/>
        </w:rPr>
        <w:t>Equity investments with readily determinable fair values are measured and recorded at fair value using the market approach based on the quoted prices in active markets at the reporting date. The Group classifies the valuation techniques that use these inputs as Level 1 of fair value measurements.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Group accounts for debt securities as available-for-sale when they are not classified as either trading or held-to-maturity. Available-for-sale debt securities are recorded at fair value, with unrealized gains and losses, net of related tax effect, are excluded from earnings and are reported as a separate component of accumulated other comprehensive loss until realized.</w:t>
      </w:r>
    </w:p>
    <w:p>
      <w:pPr>
        <w:spacing w:after="0" w:line="176"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We regularly review available-for-sale debt securities for impairment. If we do not intend to sell the investment or it is not more likely than not that we will be required to sell the investment before recovery of our amortized cost, we evaluate qualitative criteria, such as the financial health of and specific prospects for the issuer, to determine whether we do not expect to recover the amortized cost basis of the investment. We also evaluate quantitative criteria including determining whether there has been an adverse change in expected future cash flows. If we do not expect to recover the entire amortized cost basis of the investment, we consider the investment to contain an expected credit loss, and we record the difference between the investment’s amortized cost basis and its recoverable amount in earnings as an allowance for credit loss and the difference between the investment’s recoverable amount and fair value in other comprehensive income/(loss). If we intend to sell the investment or it is more likely than not we will be required to sell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investment before recovery of its amortized cost basis, the investment is considered impaired, and we recognize the entire difference between the investment’s amortized cost basis and its fair value in earnings.</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impairment, if 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on property and equipment is calculated on the straight-line method over the estimated useful lives of the assets as below:</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8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i w:val="1"/>
                <w:iCs w:val="1"/>
                <w:color w:val="auto"/>
              </w:rPr>
              <w:t>Category</w:t>
            </w:r>
          </w:p>
        </w:tc>
        <w:tc>
          <w:tcPr>
            <w:tcW w:w="5220" w:type="dxa"/>
            <w:vAlign w:val="bottom"/>
          </w:tcPr>
          <w:p>
            <w:pPr>
              <w:jc w:val="right"/>
              <w:ind w:right="1914"/>
              <w:spacing w:after="0"/>
              <w:rPr>
                <w:sz w:val="20"/>
                <w:szCs w:val="20"/>
                <w:color w:val="auto"/>
              </w:rPr>
            </w:pPr>
            <w:r>
              <w:rPr>
                <w:rFonts w:ascii="Times New Roman" w:cs="Times New Roman" w:eastAsia="Times New Roman" w:hAnsi="Times New Roman"/>
                <w:sz w:val="14"/>
                <w:szCs w:val="14"/>
                <w:b w:val="1"/>
                <w:bCs w:val="1"/>
                <w:i w:val="1"/>
                <w:iCs w:val="1"/>
                <w:color w:val="auto"/>
              </w:rPr>
              <w:t>Estimated useful life</w:t>
            </w:r>
          </w:p>
        </w:tc>
      </w:tr>
      <w:tr>
        <w:trPr>
          <w:trHeight w:val="37"/>
        </w:trPr>
        <w:tc>
          <w:tcPr>
            <w:tcW w:w="5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r>
      <w:tr>
        <w:trPr>
          <w:trHeight w:val="24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electronic equipment</w:t>
            </w:r>
          </w:p>
        </w:tc>
        <w:tc>
          <w:tcPr>
            <w:tcW w:w="5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 vehicles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5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and the estimated useful lives of the assets</w:t>
            </w:r>
          </w:p>
        </w:tc>
      </w:tr>
    </w:tbl>
    <w:p>
      <w:pPr>
        <w:spacing w:after="0" w:line="319"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Construction in progress represents property and equipment under construction. Construction in progress is transferred to property and equipment and depreciation commences when an asset is ready for its intended use.</w:t>
      </w:r>
    </w:p>
    <w:p>
      <w:pPr>
        <w:spacing w:after="0" w:line="162"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Gains or losses arising from the disposal of an item of property and equipment are determined based on the difference between the net disposal proceeds and the carrying amount of the item and are recognized in profit or loss on the date of disposal.</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(n)</w:t>
        <w:tab/>
        <w:t>Intangible assets</w:t>
      </w:r>
    </w:p>
    <w:p>
      <w:pPr>
        <w:spacing w:after="0" w:line="229"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8"/>
          <w:szCs w:val="18"/>
          <w:color w:val="auto"/>
        </w:rPr>
        <w:t>Intangible assets mainly include purchased intangible assets. Purchased intangible assets are initially recognized and measured at cost upon acquisition. Separately identifiable intangible assets that have determinable lives are amortized over their estimated useful lives on a straight-line method as follows. In determining the useful life of an intangible asset, the Group considers the factors such as the expected use of the asset by the Group, and any legal, regulatory, or contractual provisions that may limit the useful life: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34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i w:val="1"/>
                <w:iCs w:val="1"/>
                <w:color w:val="auto"/>
              </w:rPr>
              <w:t>Category</w:t>
            </w:r>
          </w:p>
        </w:tc>
        <w:tc>
          <w:tcPr>
            <w:tcW w:w="3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i w:val="1"/>
                <w:iCs w:val="1"/>
                <w:color w:val="auto"/>
              </w:rPr>
              <w:t>Estimated useful life</w:t>
            </w:r>
          </w:p>
        </w:tc>
      </w:tr>
      <w:tr>
        <w:trPr>
          <w:trHeight w:val="37"/>
        </w:trPr>
        <w:tc>
          <w:tcPr>
            <w:tcW w:w="43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licensing rights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7"/>
        </w:trPr>
        <w:tc>
          <w:tcPr>
            <w:tcW w:w="43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43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43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that the carrying amount of an asset or asset group may not be recoverable. If circumstances require a long-lived asset or asset group to be tested for possible impairment, the Group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7" w:name="page148"/>
    <w:bookmarkEnd w:id="147"/>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(p)</w:t>
        <w:tab/>
        <w:t>Product warranties</w:t>
      </w:r>
    </w:p>
    <w:p>
      <w:pPr>
        <w:spacing w:after="0" w:line="22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Group provides product warranties on all applicable products based on the contracts with its customers at the time of sale of products. The Group accrues a warranty reserve for the products sold, which includes the best estimate of projected costs to settle indemnity for claims under warranties. Factors that affect the Group’s warranty obligation include product defect rates and costs of repair or replacement. These factors are estimates that may change based on new information that becomes available each period. The portion of the warranty reserve expected to be incurred within the next 12 months is included within accrued expense and other current liabilities while the remaining balance is included in provision on the consolidated balance sheets. Warranty cost is recorded as a component of cost of goods sold in the consolidated statements of comprehensive loss. The Group reevaluates the adequacy of the warranty accrual on a regular basis.</w:t>
      </w:r>
    </w:p>
    <w:p>
      <w:pPr>
        <w:spacing w:after="0" w:line="189"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Value added taxes</w:t>
      </w:r>
    </w:p>
    <w:p>
      <w:pPr>
        <w:spacing w:after="0" w:line="22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Group’s PRC subsidiaries are subject to value added tax (“VAT”) on its products and services, less any deductible VAT the Group has already paid or borne. They are also subject to surcharges on VAT payments in accordance with PRC law. VAT is not included in the revenue recognized for the Group. Revenue from sales of products and provision of services are generally subject to VAT at the rate of 6% to 13%, and subsequently paid to PRC tax authorities after netting input VAT on purchases.</w:t>
      </w:r>
    </w:p>
    <w:p>
      <w:pPr>
        <w:spacing w:after="0" w:line="180"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excess of output VAT over input VAT is reflected in accrued expenses and other current liabilities, and the excess of input VAT over output VAT is reflected in prepayments and other current assets in the consolidated balance sheets.</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79"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The Group measures certain assets and liabilities at fair value. Fair value is the exit price, or the amount that would be received to sell an asset or paid to transfer a liability in an orderly transaction between market participants as of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hierarchy consists of the following three levels: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are derived from valuation techniques in which one or more significant inputs or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8" w:name="page149"/>
    <w:bookmarkEnd w:id="148"/>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(t)</w:t>
        <w:tab/>
        <w:t>Revenue recognition</w:t>
      </w:r>
    </w:p>
    <w:p>
      <w:pPr>
        <w:spacing w:after="0" w:line="229"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Group accounts for revenue in accordance with Accounting Standards Codification (ASC) Topic 606, Revenue from Contracts with Customers (“ASC 606”). In accordance with ASC 606, the Group recognizes revenue upon the transfer of control of promised products or services to the Group’s customers, in the amount of consideration the Group expects to receive for those products or services (excluding VAT collected on behalf of government authorities).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generates revenues from sales of goods, software license and services.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of goods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of goods include the following products:</w:t>
      </w:r>
    </w:p>
    <w:p>
      <w:pPr>
        <w:spacing w:after="0" w:line="117" w:lineRule="exact"/>
        <w:rPr>
          <w:sz w:val="20"/>
          <w:szCs w:val="20"/>
          <w:color w:val="auto"/>
        </w:rPr>
      </w:pPr>
    </w:p>
    <w:p>
      <w:pPr>
        <w:ind w:left="980" w:right="260" w:hanging="324"/>
        <w:spacing w:after="0" w:line="282" w:lineRule="auto"/>
        <w:tabs>
          <w:tab w:leader="none" w:pos="9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computing platform, which Tier 1 automotive suppliers or the Original Equipment Manufacturers (“OEM”) purchase from the Group and assemble on cars with infotainment head unit or digital cockpit;</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 core modules, where the Group sells standardized computing board, which integrates SoC with core integrated circuits and peripherals to Tier 1 automotive suppliers or the OEMs; and</w:t>
      </w:r>
    </w:p>
    <w:p>
      <w:pPr>
        <w:spacing w:after="0" w:line="53"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merchandise and other products, which are primarily basic electronic components such as resistor, capacitor and circuit board sold to automotive suppliers.</w:t>
      </w:r>
    </w:p>
    <w:p>
      <w:pPr>
        <w:spacing w:after="0" w:line="162"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The Group is mainly engaged by the related parties to manufacture and sell automotive computing platforms. The Group also generates revenue from the sales of SoC core modules, automotive merchandise and other products. Revenues are recognized when the automotive computing platform, SoC core modules, automotive merchandise or other products are accepted by the customers, which is the point in time that control of the product is transferred to the customers. The selling price, which is specified in the purchase orders, is fixed. The Group determines that it is the principal of the contract and recognizes revenue generated from sales of products on a gross basis as the Group has control of products before they are transferred to the customers. Unless a product was defective, the Group does not provide customers any right of product return.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license revenues</w:t>
      </w:r>
    </w:p>
    <w:p>
      <w:pPr>
        <w:spacing w:after="0" w:line="22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Software license revenues include revenues from sales of software stack, which incorporates the service software framework to connect the application layer to the operating system layer of the overall cockpit system.</w:t>
      </w:r>
    </w:p>
    <w:p>
      <w:pPr>
        <w:spacing w:after="0" w:line="162"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7"/>
          <w:szCs w:val="17"/>
          <w:color w:val="auto"/>
        </w:rPr>
        <w:t>The Group generates revenues from licensing its software to its customers, which are Tier 1 automotive suppliers, in two types of contracts. Customers may subscribe to term licenses or purchase perpetual licenses, which provide customer with the same functionality but for different duration.</w:t>
      </w:r>
    </w:p>
    <w:p>
      <w:pPr>
        <w:spacing w:after="0" w:line="140" w:lineRule="exact"/>
        <w:rPr>
          <w:sz w:val="20"/>
          <w:szCs w:val="20"/>
          <w:color w:val="auto"/>
        </w:rPr>
      </w:pPr>
    </w:p>
    <w:p>
      <w:pPr>
        <w:ind w:left="340" w:right="400"/>
        <w:spacing w:after="0" w:line="266" w:lineRule="auto"/>
        <w:rPr>
          <w:sz w:val="20"/>
          <w:szCs w:val="20"/>
          <w:color w:val="auto"/>
        </w:rPr>
      </w:pPr>
      <w:r>
        <w:rPr>
          <w:rFonts w:ascii="Times New Roman" w:cs="Times New Roman" w:eastAsia="Times New Roman" w:hAnsi="Times New Roman"/>
          <w:sz w:val="18"/>
          <w:szCs w:val="18"/>
          <w:color w:val="auto"/>
        </w:rPr>
        <w:t>For subscription to licenses, the Group licenses its software to its customers for a fixed period. The customers then indicate their acceptance upon receiving the software by providing a written notice. For perpetual licenses, the Group does not license customers for a specific period and it is accepted by customer with an acceptance notice.</w:t>
      </w:r>
    </w:p>
    <w:p>
      <w:pPr>
        <w:spacing w:after="0" w:line="176"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The Group’s software licenses have significant standalone functionality which is not expected to substantively change during the license term. The nature of the software is functional and a right to use the Group’s intellectual property according to ASC 606. Revenues related to the fixed period software licenses, is fixed and are recognized at a point in time upon customers’ acceptance which is when the control is transferred to the customer. Revenues related to perpetual licenses are recognized when subsequent sale occurs using the sales-based royalties guidance under ASC606 as this type of software is invoiced based on the subsequent sale made by Tier 1 automotive suppliers to the OEMs after the software has been configured into Tier 1 supplier’s auto parts. The license does not have a renewal term. Post-contract customer support, which includes technical support and unspecified minor bug fixes, are provided to all customers. The post-contract customer support is not material and not accounted for as a distinct performance obligation.</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9" w:name="page150"/>
    <w:bookmarkEnd w:id="149"/>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generates revenues by provision of the following services:</w:t>
      </w:r>
    </w:p>
    <w:p>
      <w:pPr>
        <w:spacing w:after="0" w:line="117" w:lineRule="exact"/>
        <w:rPr>
          <w:sz w:val="20"/>
          <w:szCs w:val="20"/>
          <w:color w:val="auto"/>
        </w:rPr>
      </w:pPr>
    </w:p>
    <w:p>
      <w:pPr>
        <w:ind w:left="960" w:hanging="30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computing platform design and development service;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service, which enables end-users of secure connected car service; and,</w:t>
      </w:r>
    </w:p>
    <w:p>
      <w:pPr>
        <w:spacing w:after="0" w:line="63"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7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services, including technical consulting services provided to automotive companies. The performance obligations are satisfied, and revenues are recognized, at a point in time the customers accept the services, as the criteria for recognition of revenue over time are not met.</w:t>
      </w:r>
    </w:p>
    <w:p>
      <w:pPr>
        <w:spacing w:after="0" w:line="140"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Group provides design and development services on automotive computing platform for OEMs. The contracts for design and development services are separate from the contracts for manufacture of automotive computing platform because they are not entered into at or near the same time. The Group entered into a number of contracts with OEMs upon the commencement of design and development services on automotive computing platform. After the fulfillment of the design and development services, the Group delivers customized deliverables to the OEMs.</w:t>
      </w:r>
    </w:p>
    <w:p>
      <w:pPr>
        <w:spacing w:after="0" w:line="180"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For such contracts, the Group recognizes revenue at a point in time because (1) the customer does not receive benefits until the delivery of deliverables; (2) the Company does not create or enhance assets which the customer controls as the assets are created or enhanced; and (3) the Group does not have any enforceable rights to payment for performance completed to date before the deliverables are accepted by the customers.</w:t>
      </w:r>
    </w:p>
    <w:p>
      <w:pPr>
        <w:spacing w:after="0" w:line="176"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connectivity service includes mobile data traffic and telematics services provider (“TSP”) maintenance service. The Group purchases mobile data traffic from its suppliers and maintains a mobile data pool to provide mobile data service pack to its related parties. In the meantime, the Group provides TSP maintenance service to its related parties with key duties to provide hosting of information, including personal data, as well as IT system support and troubleshooting.</w:t>
      </w:r>
    </w:p>
    <w:p>
      <w:pPr>
        <w:spacing w:after="0" w:line="18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connectivity service commences upon activation of the mobile data service pack and remains effective with agreed standard connectivity speed (1) over the duration of ownership under the first registered owner of the automobiles or (2) over the shorter of (i) an agreed fixed period or (ii) the duration of ownership under the first registered owner. Therefore, the Group estimates the period when the mobile data service pack is activated and recognizes the connectivity service revenue over the estimated period on a straight-line basis.</w:t>
      </w:r>
    </w:p>
    <w:p>
      <w:pPr>
        <w:spacing w:after="0" w:line="180" w:lineRule="exact"/>
        <w:rPr>
          <w:sz w:val="20"/>
          <w:szCs w:val="20"/>
          <w:color w:val="auto"/>
        </w:rPr>
      </w:pPr>
    </w:p>
    <w:p>
      <w:pPr>
        <w:ind w:left="340" w:right="280"/>
        <w:spacing w:after="0" w:line="281" w:lineRule="auto"/>
        <w:rPr>
          <w:sz w:val="20"/>
          <w:szCs w:val="20"/>
          <w:color w:val="auto"/>
        </w:rPr>
      </w:pPr>
      <w:r>
        <w:rPr>
          <w:rFonts w:ascii="Times New Roman" w:cs="Times New Roman" w:eastAsia="Times New Roman" w:hAnsi="Times New Roman"/>
          <w:sz w:val="17"/>
          <w:szCs w:val="17"/>
          <w:color w:val="auto"/>
        </w:rPr>
        <w:t>The Group determines that it is the principal in providing such connectivity service, as it has control over the services, either providing the TSP maintenance service by itself or obtaining a right to and control the services provided by Zhejiang Huanfu (see Note 28), including negotiating arrangement details with customers, establishing prices for services, selecting data traffic suppliers and management of the data traffic pool to fulfil users’ needs, as well as being primarily responsible for fulfilling the promise, including issues that may arise during the provision of the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 in accounts receivable and contract liabilities. The Group’s contract liabilities consist of advance payments from clients and billings in excess of revenues recognized. The Group classifies contract liabilities as current or noncurrent based on the timing of when the Group expects to recognize the revenues.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340" w:right="540"/>
        <w:spacing w:after="0" w:line="281" w:lineRule="auto"/>
        <w:rPr>
          <w:sz w:val="20"/>
          <w:szCs w:val="20"/>
          <w:color w:val="auto"/>
        </w:rPr>
      </w:pPr>
      <w:r>
        <w:rPr>
          <w:rFonts w:ascii="Times New Roman" w:cs="Times New Roman" w:eastAsia="Times New Roman" w:hAnsi="Times New Roman"/>
          <w:sz w:val="18"/>
          <w:szCs w:val="18"/>
          <w:color w:val="auto"/>
        </w:rPr>
        <w:t>Incremental costs of obtaining a contract with a customer is recognized as contract cost assets if the Group expects to recover those costs. Costs incurred to fulfill such contracts which are not in the scope of other guidance are recognized as contract cost assets when those costs:</w:t>
      </w:r>
    </w:p>
    <w:p>
      <w:pPr>
        <w:spacing w:after="0" w:line="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directly to the contracts that the Group can specifically identify;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recovered;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0" w:name="page151"/>
    <w:bookmarkEnd w:id="150"/>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or enhance resources of the Group that will be used in satisfying performance obligations in the future.</w:t>
      </w:r>
    </w:p>
    <w:p>
      <w:pPr>
        <w:spacing w:after="0" w:line="239" w:lineRule="exact"/>
        <w:rPr>
          <w:sz w:val="20"/>
          <w:szCs w:val="20"/>
          <w:color w:val="auto"/>
        </w:rPr>
      </w:pPr>
    </w:p>
    <w:p>
      <w:pPr>
        <w:ind w:left="340" w:right="240"/>
        <w:spacing w:after="0" w:line="273" w:lineRule="auto"/>
        <w:rPr>
          <w:sz w:val="20"/>
          <w:szCs w:val="20"/>
          <w:color w:val="auto"/>
        </w:rPr>
      </w:pPr>
      <w:r>
        <w:rPr>
          <w:rFonts w:ascii="Times New Roman" w:cs="Times New Roman" w:eastAsia="Times New Roman" w:hAnsi="Times New Roman"/>
          <w:sz w:val="18"/>
          <w:szCs w:val="18"/>
          <w:color w:val="auto"/>
        </w:rPr>
        <w:t>The Group recognizes an impairment loss of contract cost assets in the statement of comprehensive loss to the extent that the carrying amount of the assets exceeds:</w:t>
      </w:r>
    </w:p>
    <w:p>
      <w:pPr>
        <w:spacing w:after="0" w:line="2" w:lineRule="exact"/>
        <w:rPr>
          <w:sz w:val="20"/>
          <w:szCs w:val="20"/>
          <w:color w:val="auto"/>
        </w:rPr>
      </w:pPr>
    </w:p>
    <w:p>
      <w:pPr>
        <w:ind w:left="640" w:hanging="308"/>
        <w:spacing w:after="0"/>
        <w:tabs>
          <w:tab w:leader="none" w:pos="6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that the Group expects to receive in the future and that the Group has received but not recognized as revenue, less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that relate directly to providing those services and that have not been recognized as expenses.</w:t>
      </w:r>
    </w:p>
    <w:p>
      <w:pPr>
        <w:spacing w:after="0" w:line="22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mainly consist of direct material cost, outsourced development expenses, payroll, share-based compensation related to research and development personnel, and expenses associated with the use of facilities and equipment by these functions, such as lease rental and depreciation. Research and development expenses are expensed as incurred.</w:t>
      </w:r>
    </w:p>
    <w:p>
      <w:pPr>
        <w:spacing w:after="0" w:line="172"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Selling and marketing expense mainly consists of payroll and share-based compensation related to the selling and marketing activities, advertising costs, rental, depreciation related to selling and marketing functions. Advertising costs are expensed as incurred. The advertising costs were US$2,491, US$4,253 and US$4,313 for the years ended December 31, 2023, 2024 and 2025, respectively.</w:t>
      </w:r>
    </w:p>
    <w:p>
      <w:pPr>
        <w:spacing w:after="0" w:line="172"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Group’s PRC subsidiaries received cash subsidies from certain local governments, which consist of specific purpose grants and general-purpose subsidies. Specific purpose grants are government subsidies designated to be used for a specific purpose, such as for construction of factory buildings and production facilities. General purpose subsidies are government subsidies provided for general purpose use and are not contingent upon any further actions or performance of the Group and the amounts do not have to be refunded under any circumstances.</w:t>
      </w:r>
    </w:p>
    <w:p>
      <w:pPr>
        <w:spacing w:after="0" w:line="166" w:lineRule="exact"/>
        <w:rPr>
          <w:sz w:val="20"/>
          <w:szCs w:val="20"/>
          <w:color w:val="auto"/>
        </w:rPr>
      </w:pPr>
    </w:p>
    <w:p>
      <w:pPr>
        <w:ind w:left="340" w:right="100"/>
        <w:spacing w:after="0" w:line="239"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the Group will comply with the conditions attached to it and the grants will be received. Grants that compensate the Group for expenses incurred are recognized as other non-operating (expenses) income, net in the Group’s consolidated statements of comprehensive loss on a systematic basis in the same periods in which the expenses are incurred. Grants that compensate the acquisition cost of an asset are recorded as a liability in the Group’s consolidated balance sheets and are recognized as other non-operating (expenses) income, net in the Group’s consolidated statements of comprehensive loss over the useful life of the asset.</w:t>
      </w:r>
    </w:p>
    <w:p>
      <w:pPr>
        <w:spacing w:after="0" w:line="194"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Current income taxes are provided on the basis of income before income taxes for financial reporting purposes and adjusted for income and expense items which are not taxable or deductible for income tax purposes, in accordance with the regulations of the relevant tax jurisdictions.</w:t>
      </w:r>
    </w:p>
    <w:p>
      <w:pPr>
        <w:spacing w:after="0" w:line="16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for using the asset and liability method. Under this method, deferred tax assets and liabilities are recognized for the tax consequences attributable to differences between carrying amounts of assets and liabilities in the financial statements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that includes the enactment date.</w:t>
      </w:r>
    </w:p>
    <w:p>
      <w:pPr>
        <w:spacing w:after="0" w:line="183" w:lineRule="exact"/>
        <w:rPr>
          <w:sz w:val="20"/>
          <w:szCs w:val="20"/>
          <w:color w:val="auto"/>
        </w:rPr>
      </w:pPr>
    </w:p>
    <w:p>
      <w:pPr>
        <w:jc w:val="both"/>
        <w:ind w:left="340" w:right="240"/>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losses, forecasts of futures profitability, the duration of statutory carryforward periods, the Group’s operating history and tax credit carryforwards, if any, not expiring.</w:t>
      </w:r>
    </w:p>
    <w:p>
      <w:pPr>
        <w:spacing w:after="0" w:line="162"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The Group applies a “more-likely-than-not” recognition threshold in the evaluation of uncertain tax positions. The Group recognizes the benefit of a tax position in its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necessitates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 and general and administrative expenses, respectively.</w:t>
      </w:r>
    </w:p>
    <w:p>
      <w:pPr>
        <w:spacing w:after="0" w:line="190" w:lineRule="exact"/>
        <w:rPr>
          <w:sz w:val="20"/>
          <w:szCs w:val="20"/>
          <w:color w:val="auto"/>
        </w:rPr>
      </w:pPr>
    </w:p>
    <w:p>
      <w:pPr>
        <w:ind w:left="400" w:hanging="392"/>
        <w:spacing w:after="0"/>
        <w:tabs>
          <w:tab w:leader="none" w:pos="4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ind w:left="340" w:right="60"/>
        <w:spacing w:after="0" w:line="242" w:lineRule="auto"/>
        <w:rPr>
          <w:sz w:val="20"/>
          <w:szCs w:val="20"/>
          <w:color w:val="auto"/>
        </w:rPr>
      </w:pPr>
      <w:r>
        <w:rPr>
          <w:rFonts w:ascii="Times New Roman" w:cs="Times New Roman" w:eastAsia="Times New Roman" w:hAnsi="Times New Roman"/>
          <w:sz w:val="18"/>
          <w:szCs w:val="18"/>
          <w:color w:val="auto"/>
        </w:rPr>
        <w:t>The Group measures the cost of employee and non-employee services received in exchange for an award of equity instruments based on the grant-date fair value of the award and recognizes the cost over the period the employee and non-employee are required to provide service in exchange for the award, which generally is the vesting period. For graded vesting awards with only service condition, the Group recognizes compensation cost on a straight-line basis over the requisite service period, provided that the cumulative amount of compensation cost recognized at any date at least equals the portion of the grant-date value of such award that is vested at that date.</w:t>
      </w:r>
    </w:p>
    <w:p>
      <w:pPr>
        <w:spacing w:after="0" w:line="212" w:lineRule="exact"/>
        <w:rPr>
          <w:sz w:val="20"/>
          <w:szCs w:val="20"/>
          <w:color w:val="auto"/>
        </w:rPr>
      </w:pPr>
    </w:p>
    <w:p>
      <w:pPr>
        <w:jc w:val="both"/>
        <w:ind w:left="340"/>
        <w:spacing w:after="0" w:line="238" w:lineRule="auto"/>
        <w:rPr>
          <w:sz w:val="20"/>
          <w:szCs w:val="20"/>
          <w:color w:val="auto"/>
        </w:rPr>
      </w:pPr>
      <w:r>
        <w:rPr>
          <w:rFonts w:ascii="Times New Roman" w:cs="Times New Roman" w:eastAsia="Times New Roman" w:hAnsi="Times New Roman"/>
          <w:sz w:val="18"/>
          <w:szCs w:val="18"/>
          <w:color w:val="auto"/>
        </w:rPr>
        <w:t>Awards granted to employees with performance conditions are measured at fair value on the grant date and are recognized as the compensation expenses over the performance period as the performance targets become probable to achieve. The Group adjusts the compensation cost based on the probability of achievement of the performance targets at the end of each reporting period. The rewards are earned upon attainment of identified performance targets. Awards granted to employees with market conditions are measured at fair value on the grant date and are recognized as the compensation expenses over the estimated requisite service period, regardless of whether the market condition has been satisfied if the requisite service period is fulfilled.</w:t>
      </w:r>
    </w:p>
    <w:p>
      <w:pPr>
        <w:spacing w:after="0" w:line="19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Group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(z)</w:t>
        <w:tab/>
        <w:t>Employee benefits</w:t>
      </w:r>
    </w:p>
    <w:p>
      <w:pPr>
        <w:spacing w:after="0" w:line="256"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The Group compensates its employees through short-term employee benefits and defined contribution plans. Short-term employee benefits consist of salaries, social benefit costs, paid annual leave, and bonuses that are expected to be settled within twelve months of the reporting period in which services are rendered. Short-term employee benefits are recognized at the undiscounted amounts expected to be paid when the liabilities are settled and presented within accrued expenses and other current liabilities in the consolidated balance sheets.</w:t>
      </w:r>
    </w:p>
    <w:p>
      <w:pPr>
        <w:spacing w:after="0" w:line="207"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monthly to a separate legal entity or the local labor bureau that manages pension plans on behalf of various employers. The Group has no further commitments beyond its monthly contribution. Employee social benefits included as expenses in the accompanying consolidated statements of comprehensive loss amounted to US$33,968, US$33,465 and US$27,634 for the years ended December 31, 2023, 2024 and 2025,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(aa)</w:t>
        <w:tab/>
        <w:t>Leases</w:t>
      </w:r>
    </w:p>
    <w:p>
      <w:pPr>
        <w:spacing w:after="0" w:line="229"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The Group leases premises for offices under non-cancellable operating leases. There are no capital improvement funding, lease concessions, escalated rent provisions or contingent rent in the lease agreements. The Group has no legal or contractual asset retirement obligations at the end of the lease term.</w:t>
      </w:r>
    </w:p>
    <w:p>
      <w:pPr>
        <w:spacing w:after="0" w:line="176"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Right-of-use assets and lease liabilities are recognized upon lease commencement for operating leases based on the present value of lease payments over the lease term. As the rate implicit in the lease cannot be readily determined, the Group uses different incremental borrowing rates for subsidiaries in different countries at the lease commencement date in determining the present value of lease payments. The incremental borrowing rates were determined based on the rates of interest that each subsidiary would be expected to pay to borrow an amount equal to the lease payments on a collateralized basis over a similar term.</w:t>
      </w:r>
    </w:p>
    <w:p>
      <w:pPr>
        <w:spacing w:after="0" w:line="18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Group has elected not to recognize right-of-use assets or lease liabilities for leases with an initial term of 12 months or less and recognizes a single lease cost on a straight-line basis over the lease term.</w:t>
      </w:r>
    </w:p>
    <w:p>
      <w:pPr>
        <w:spacing w:after="0" w:line="158" w:lineRule="exact"/>
        <w:rPr>
          <w:sz w:val="20"/>
          <w:szCs w:val="20"/>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The Group uses US$ as its reporting currency. Functional currency of the entities consolidated within the Group is the currency of the primary economic environment in which the entity operates. 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foreign currency exchange gains (losses), net in the consolidated statements of comprehensive loss.</w:t>
      </w:r>
    </w:p>
    <w:p>
      <w:pPr>
        <w:spacing w:after="0" w:line="183"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subsidiaries whose functional currency is not US$ are translated into US$ from functional currencies at the current exchange rates while revenues and expenses are translated from functional currencies at average exchange rates. Equity accounts other than earnings (deficits) generated in the current period are translated into at the appropriate historical rates. The resulting foreign currency translation adjustments are recorded as a component of other comprehensive income (loss) in the consolidated statements of comprehensive loss, and the accumulated foreign currency translation adjustments are recorded as a component of accumulated other comprehensive income (loss) in the consolidated statements of changes in shareholders’ deficit.</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(cc)</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43" w:lineRule="exact"/>
        <w:rPr>
          <w:sz w:val="20"/>
          <w:szCs w:val="20"/>
          <w:color w:val="auto"/>
        </w:rPr>
      </w:pPr>
    </w:p>
    <w:p>
      <w:pPr>
        <w:ind w:left="340"/>
        <w:spacing w:after="0" w:line="242"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by the weighted average number of ordinary shares outstanding during the periods presented using the two-class method. Under the two-class method, any net 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earnings per share as of the date that all necessary conditions have been satisfied.</w:t>
      </w:r>
    </w:p>
    <w:p>
      <w:pPr>
        <w:spacing w:after="0" w:line="198"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consist of shares issuable upon the conversion of convertible notes, using the if-converted method, and ordinary shares issuable upon the exercise of warrants, options and unvested RSUs and PSUs (as described in Note 20) using the treasury stock method. Ordinary equivalent shares are not included in the denominator of the diluted loss per share calculation when inclusion of such share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3" w:name="page154"/>
    <w:bookmarkEnd w:id="153"/>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 w:hanging="552"/>
        <w:spacing w:after="0"/>
        <w:tabs>
          <w:tab w:leader="none" w:pos="55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w:t>
      </w:r>
    </w:p>
    <w:p>
      <w:pPr>
        <w:spacing w:after="0" w:line="229" w:lineRule="exact"/>
        <w:rPr>
          <w:sz w:val="20"/>
          <w:szCs w:val="20"/>
          <w:color w:val="auto"/>
        </w:rPr>
      </w:pPr>
    </w:p>
    <w:p>
      <w:pPr>
        <w:ind w:left="332" w:right="260"/>
        <w:spacing w:after="0" w:line="282" w:lineRule="auto"/>
        <w:rPr>
          <w:sz w:val="20"/>
          <w:szCs w:val="20"/>
          <w:color w:val="auto"/>
        </w:rPr>
      </w:pPr>
      <w:r>
        <w:rPr>
          <w:rFonts w:ascii="Times New Roman" w:cs="Times New Roman" w:eastAsia="Times New Roman" w:hAnsi="Times New Roman"/>
          <w:sz w:val="18"/>
          <w:szCs w:val="18"/>
          <w:color w:val="auto"/>
        </w:rPr>
        <w:t>In accordance with the PRC Company Law, the paid-in capitals of the PRC subsidiaries are not allowed to be transferred to the Company by way of cash dividends, loans or advances, nor can they be distributed except in the event of a liquidation.</w:t>
      </w:r>
    </w:p>
    <w:p>
      <w:pPr>
        <w:spacing w:after="0" w:line="162" w:lineRule="exact"/>
        <w:rPr>
          <w:sz w:val="20"/>
          <w:szCs w:val="20"/>
          <w:color w:val="auto"/>
        </w:rPr>
      </w:pPr>
    </w:p>
    <w:p>
      <w:pPr>
        <w:ind w:left="332" w:right="100"/>
        <w:spacing w:after="0" w:line="258" w:lineRule="auto"/>
        <w:rPr>
          <w:sz w:val="20"/>
          <w:szCs w:val="20"/>
          <w:color w:val="auto"/>
        </w:rPr>
      </w:pPr>
      <w:r>
        <w:rPr>
          <w:rFonts w:ascii="Times New Roman" w:cs="Times New Roman" w:eastAsia="Times New Roman" w:hAnsi="Times New Roman"/>
          <w:sz w:val="18"/>
          <w:szCs w:val="18"/>
          <w:color w:val="auto"/>
        </w:rPr>
        <w:t>In addition, in accordance with the PRC Company Law, the Group’s PRC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after offsetting any prior year losses as determined under PRC GAAP. Appropriation is not required if the statutory surplus fund has reached 50% of the registered capital of the PRC companies. Appropriation to the discretionary surplus fund is made at the discretion of the PRC companies.</w:t>
      </w:r>
    </w:p>
    <w:p>
      <w:pPr>
        <w:spacing w:after="0" w:line="183" w:lineRule="exact"/>
        <w:rPr>
          <w:sz w:val="20"/>
          <w:szCs w:val="20"/>
          <w:color w:val="auto"/>
        </w:rPr>
      </w:pPr>
    </w:p>
    <w:p>
      <w:pPr>
        <w:ind w:left="332" w:right="80"/>
        <w:spacing w:after="0" w:line="266" w:lineRule="auto"/>
        <w:rPr>
          <w:sz w:val="20"/>
          <w:szCs w:val="20"/>
          <w:color w:val="auto"/>
        </w:rPr>
      </w:pPr>
      <w:r>
        <w:rPr>
          <w:rFonts w:ascii="Times New Roman" w:cs="Times New Roman" w:eastAsia="Times New Roman" w:hAnsi="Times New Roman"/>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in the event of a liquidation.</w:t>
      </w:r>
    </w:p>
    <w:p>
      <w:pPr>
        <w:spacing w:after="0" w:line="176" w:lineRule="exact"/>
        <w:rPr>
          <w:sz w:val="20"/>
          <w:szCs w:val="20"/>
          <w:color w:val="auto"/>
        </w:rPr>
      </w:pPr>
    </w:p>
    <w:p>
      <w:pPr>
        <w:ind w:left="332" w:right="160"/>
        <w:spacing w:after="0" w:line="282" w:lineRule="auto"/>
        <w:rPr>
          <w:sz w:val="20"/>
          <w:szCs w:val="20"/>
          <w:color w:val="auto"/>
        </w:rPr>
      </w:pPr>
      <w:r>
        <w:rPr>
          <w:rFonts w:ascii="Times New Roman" w:cs="Times New Roman" w:eastAsia="Times New Roman" w:hAnsi="Times New Roman"/>
          <w:sz w:val="18"/>
          <w:szCs w:val="18"/>
          <w:color w:val="auto"/>
        </w:rPr>
        <w:t>No appropriation to statutory surplus fund was made during the years ended December 31, 2023, 2024 and 2025. The balance of the statutory surplus was nil as of December 31, 2024 and 2025.</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No appropriation to the discretionary surplus fund was made by the Group’s PRC subsidiaries.</w:t>
      </w:r>
    </w:p>
    <w:p>
      <w:pPr>
        <w:spacing w:after="0" w:line="221" w:lineRule="exact"/>
        <w:rPr>
          <w:sz w:val="20"/>
          <w:szCs w:val="20"/>
          <w:color w:val="auto"/>
        </w:rPr>
      </w:pPr>
    </w:p>
    <w:p>
      <w:pPr>
        <w:ind w:left="332" w:hanging="332"/>
        <w:spacing w:after="0"/>
        <w:tabs>
          <w:tab w:leader="none" w:pos="33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3" w:lineRule="exact"/>
        <w:rPr>
          <w:rFonts w:ascii="Times New Roman" w:cs="Times New Roman" w:eastAsia="Times New Roman" w:hAnsi="Times New Roman"/>
          <w:sz w:val="18"/>
          <w:szCs w:val="18"/>
          <w:b w:val="1"/>
          <w:bCs w:val="1"/>
          <w:color w:val="auto"/>
        </w:rPr>
      </w:pPr>
    </w:p>
    <w:p>
      <w:pPr>
        <w:ind w:left="332" w:right="42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adopted Accounting Standards Update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on a prospective basis. The amendments require disclosure of specific categories in the rate reconciliation and provide additional information for reconciling items that meet a quantitative threshold. This standard also requires further disaggregation of income taxes paid by federal, state, and foreign taxes, and by individual jurisdictions exceeding a specific threshold. Refer to Note 23 for further information.</w:t>
      </w:r>
    </w:p>
    <w:p>
      <w:pPr>
        <w:spacing w:after="0" w:line="171" w:lineRule="exact"/>
        <w:rPr>
          <w:rFonts w:ascii="Times New Roman" w:cs="Times New Roman" w:eastAsia="Times New Roman" w:hAnsi="Times New Roman"/>
          <w:sz w:val="18"/>
          <w:szCs w:val="18"/>
          <w:b w:val="1"/>
          <w:bCs w:val="1"/>
          <w:color w:val="auto"/>
        </w:rPr>
      </w:pPr>
    </w:p>
    <w:p>
      <w:pPr>
        <w:ind w:left="332" w:right="60"/>
        <w:spacing w:after="0" w:line="2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adopted ASU 2023-07, </w:t>
      </w:r>
      <w:r>
        <w:rPr>
          <w:rFonts w:ascii="Times New Roman" w:cs="Times New Roman" w:eastAsia="Times New Roman" w:hAnsi="Times New Roman"/>
          <w:sz w:val="18"/>
          <w:szCs w:val="18"/>
          <w:i w:val="1"/>
          <w:iCs w:val="1"/>
          <w:color w:val="auto"/>
        </w:rPr>
        <w:t>Segment Reporting - Improvements to Reportable Segment Disclosures (Topic 280)</w:t>
      </w:r>
      <w:r>
        <w:rPr>
          <w:rFonts w:ascii="Times New Roman" w:cs="Times New Roman" w:eastAsia="Times New Roman" w:hAnsi="Times New Roman"/>
          <w:sz w:val="18"/>
          <w:szCs w:val="18"/>
          <w:color w:val="auto"/>
        </w:rPr>
        <w:t xml:space="preserve"> on January 1, 2024 which requires public entities to disclose (1) significant segment expenses by reportable segment if they are regularly provided to the Chief Operating Decision Maker (CODM) and included in each reported measure of segment profit or loss, (2) other segment items by reportable segment, (3) more than one measure of segment profit or loss used by the CODM, provided that at least one of the reported measures includes the segment profit or loss measure that is most consistent with GAAP measurement principles, (4) CODM’s title and position on both an annual and an interim basis. The Group adopted this ASU from January 1, 2024 (see Note 29).</w:t>
      </w:r>
    </w:p>
    <w:p>
      <w:pPr>
        <w:spacing w:after="0" w:line="186" w:lineRule="exact"/>
        <w:rPr>
          <w:rFonts w:ascii="Times New Roman" w:cs="Times New Roman" w:eastAsia="Times New Roman" w:hAnsi="Times New Roman"/>
          <w:sz w:val="18"/>
          <w:szCs w:val="18"/>
          <w:b w:val="1"/>
          <w:bCs w:val="1"/>
          <w:color w:val="auto"/>
        </w:rPr>
      </w:pPr>
    </w:p>
    <w:p>
      <w:pPr>
        <w:ind w:left="332"/>
        <w:spacing w:after="0" w:line="22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adopted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xml:space="preserve"> Measurement of Credit Losses on Financial Instruments, and subsequent amendments to the initial guidance within ASU 2018-19, ASU 2019-04, ASU 2019-05, ASU 2019-11 and ASU 2020-02 (collectively referred to as ASC 326) on January 1, 2023 using the modified retrospective approach. ASC 326 requires the measurement and recognition of expected credit losses using the current expected credit loss model for financial assets held at amortized cost, which includes the Group’s accounts receivable, notes receivable, amounts due from related parties and other financial assets. It replaces the existing incurred loss impairment model with an expected loss methodology. The recorded credit losses are adjusted each period for changes in expected lifetime credit losses. On adoption of ASC 326, there is no change to accumulated deficit as of January 1, 2023.</w:t>
      </w:r>
    </w:p>
    <w:p>
      <w:pPr>
        <w:spacing w:after="0" w:line="195"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14" w:lineRule="exact"/>
        <w:rPr>
          <w:sz w:val="20"/>
          <w:szCs w:val="20"/>
          <w:color w:val="auto"/>
        </w:rPr>
      </w:pPr>
    </w:p>
    <w:p>
      <w:pPr>
        <w:jc w:val="both"/>
        <w:ind w:left="332" w:right="300"/>
        <w:spacing w:after="0" w:line="23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The standard is intended to improve financial reporting by requiring that public business entities disclose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specific expense categories in the notes to financial</w:t>
      </w:r>
    </w:p>
    <w:p>
      <w:pPr>
        <w:spacing w:after="0" w:line="200" w:lineRule="exact"/>
        <w:rPr>
          <w:sz w:val="20"/>
          <w:szCs w:val="20"/>
          <w:color w:val="auto"/>
        </w:rPr>
      </w:pPr>
    </w:p>
    <w:p>
      <w:pPr>
        <w:spacing w:after="0" w:line="3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right="840"/>
        <w:spacing w:after="0" w:line="239" w:lineRule="auto"/>
        <w:rPr>
          <w:sz w:val="20"/>
          <w:szCs w:val="20"/>
          <w:color w:val="auto"/>
        </w:rPr>
      </w:pPr>
      <w:r>
        <w:rPr>
          <w:rFonts w:ascii="Times New Roman" w:cs="Times New Roman" w:eastAsia="Times New Roman" w:hAnsi="Times New Roman"/>
          <w:sz w:val="18"/>
          <w:szCs w:val="18"/>
          <w:color w:val="auto"/>
        </w:rPr>
        <w:t>statements at interim and annual reporting periods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update is effective for the Group from January 1, 2027. The Group is in the process determining the impact of the adoption of the update on its consolidated financial statements.</w:t>
      </w:r>
    </w:p>
    <w:p>
      <w:pPr>
        <w:spacing w:after="0" w:line="1" w:lineRule="exact"/>
        <w:rPr>
          <w:sz w:val="20"/>
          <w:szCs w:val="20"/>
          <w:color w:val="auto"/>
        </w:rPr>
      </w:pPr>
    </w:p>
    <w:p>
      <w:pPr>
        <w:ind w:left="80"/>
        <w:spacing w:after="0" w:line="23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This ASU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This update is effective for the Group from January 1, 2026. The Group does not expect a material impact on its consolidated financial statements on adoption of this update.</w:t>
      </w:r>
    </w:p>
    <w:p>
      <w:pPr>
        <w:spacing w:after="0" w:line="184" w:lineRule="exact"/>
        <w:rPr>
          <w:sz w:val="20"/>
          <w:szCs w:val="20"/>
          <w:color w:val="auto"/>
        </w:rPr>
      </w:pPr>
    </w:p>
    <w:p>
      <w:pPr>
        <w:ind w:left="80" w:right="40"/>
        <w:spacing w:after="0" w:line="22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This update introduces targeted improvements to the recognition and capitalization guidance for internal-use software costs. The update eliminates the prior “project stage” framework and instead requires capitalization of software development costs when (i) management has authorized and committed to funding the software project, and (ii) it is probable that the project will be completed and the software will be used to perform its intended function. In assessing the probability threshold, entities are required to evaluate whether significant development uncertainty exists, including whether the software contains novel or unproven functionality or whether significant performance requirements have not been identified or continue to be substantially revised. The update is effective for the Group beginning January 1, 2028, with early adoption permitted. Transition may be applied prospectively, retrospectively, or under a modified approach. The Group is in the process determining the impact of the adoption of the update on its consolidated financial statements.</w:t>
      </w:r>
    </w:p>
    <w:p>
      <w:pPr>
        <w:spacing w:after="0" w:line="188" w:lineRule="exact"/>
        <w:rPr>
          <w:sz w:val="20"/>
          <w:szCs w:val="20"/>
          <w:color w:val="auto"/>
        </w:rPr>
      </w:pPr>
    </w:p>
    <w:p>
      <w:pPr>
        <w:ind w:left="80" w:right="120"/>
        <w:spacing w:after="0" w:line="22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xml:space="preserve"> This update establishes guidance on the recognition, measurement, and presentation of government grants received by business entities. The new guidance leverages the principles in the accounting framework for government assistance in IFRS, specifically IAS 20, A</w:t>
      </w:r>
      <w:r>
        <w:rPr>
          <w:rFonts w:ascii="Times New Roman" w:cs="Times New Roman" w:eastAsia="Times New Roman" w:hAnsi="Times New Roman"/>
          <w:sz w:val="18"/>
          <w:szCs w:val="18"/>
          <w:i w:val="1"/>
          <w:iCs w:val="1"/>
          <w:color w:val="auto"/>
        </w:rPr>
        <w:t>ccounting for Government Grants and Disclosure of Government Assistance</w:t>
      </w:r>
      <w:r>
        <w:rPr>
          <w:rFonts w:ascii="Times New Roman" w:cs="Times New Roman" w:eastAsia="Times New Roman" w:hAnsi="Times New Roman"/>
          <w:sz w:val="18"/>
          <w:szCs w:val="18"/>
          <w:color w:val="auto"/>
        </w:rPr>
        <w:t>; makes certain targeted improvements; and modifies certain of the existing disclosure requirements in ASC 832, Government Assistance. The new guidance is effective for public business entities in annual periods beginning after December 15, 2028 (including interim periods within) and one year later for all other entities, with early adoption permitted in any period for which financial statements have not yet been issued. The guidance can be applied on a modified prospective basis, a modified retrospective basis, or a full retrospective basis. The Group is in the process determining the impact of the adoption of the update on its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55" w:name="page156"/>
    <w:bookmarkEnd w:id="155"/>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1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Combinations between entities under common control</w:t>
      </w:r>
    </w:p>
    <w:p>
      <w:pPr>
        <w:spacing w:after="0" w:line="24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Acquisition of HF Tech Europe AB (“HF EU”)</w:t>
      </w:r>
    </w:p>
    <w:p>
      <w:pPr>
        <w:spacing w:after="0" w:line="279" w:lineRule="exact"/>
        <w:rPr>
          <w:sz w:val="20"/>
          <w:szCs w:val="20"/>
          <w:color w:val="auto"/>
        </w:rPr>
      </w:pPr>
    </w:p>
    <w:p>
      <w:pPr>
        <w:ind w:left="340"/>
        <w:spacing w:after="0" w:line="242" w:lineRule="auto"/>
        <w:rPr>
          <w:sz w:val="20"/>
          <w:szCs w:val="20"/>
          <w:color w:val="auto"/>
        </w:rPr>
      </w:pPr>
      <w:r>
        <w:rPr>
          <w:rFonts w:ascii="Times New Roman" w:cs="Times New Roman" w:eastAsia="Times New Roman" w:hAnsi="Times New Roman"/>
          <w:sz w:val="18"/>
          <w:szCs w:val="18"/>
          <w:color w:val="auto"/>
        </w:rPr>
        <w:t>On June 30, 2024, Ecarx Sweden AB. (“Ecarx SE”) acquired all issued and outstanding shares of HF EU, an entity under common control, at a purchase consideration of SEK21,271 (equivalent to US$1,915) which was settled in December 2024. Both the Group and HF EU are under the control of Mr. Eric Li (Shufu Li). As the acquisition of HF EU was a combination between entities under common control, the consolidated financial statements have been presented by combining assets, liabilities, revenues, expenses and equity of the Group and HF EU using the pooling-of-interests method. All intercompany transactions and balances between the combining entities have been eliminated.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Acquisition of JICA Intelligent Robotics Co., Ltd. (“JICA”)</w:t>
      </w:r>
    </w:p>
    <w:p>
      <w:pPr>
        <w:spacing w:after="0" w:line="239" w:lineRule="exact"/>
        <w:rPr>
          <w:sz w:val="20"/>
          <w:szCs w:val="20"/>
          <w:color w:val="auto"/>
        </w:rPr>
      </w:pPr>
    </w:p>
    <w:p>
      <w:pPr>
        <w:ind w:left="340" w:right="40"/>
        <w:spacing w:after="0" w:line="237" w:lineRule="auto"/>
        <w:rPr>
          <w:sz w:val="20"/>
          <w:szCs w:val="20"/>
          <w:color w:val="auto"/>
        </w:rPr>
      </w:pPr>
      <w:r>
        <w:rPr>
          <w:rFonts w:ascii="Times New Roman" w:cs="Times New Roman" w:eastAsia="Times New Roman" w:hAnsi="Times New Roman"/>
          <w:sz w:val="18"/>
          <w:szCs w:val="18"/>
          <w:color w:val="auto"/>
        </w:rPr>
        <w:t>On June 30, 2023, ECARX (Hubei) Tech Co., Ltd. (“ECARX (Hubei) Tech”) made additional capital injection amounting to RMB266,667 (equivalent to US$36,775) to JICA, of which RMB201,000 (equivalent to US$27,367) was settled as of December 31, 2025, and the remaining RMB65,667 (equivalent to US$9,408) is payable in 2026. Prior to the capital injection, ECARX (Hubei) Tech held 50% ownership interest in JICA, with the other 50% owned by Geely Automotive Group Co., Ltd. (“Geely Auto”). Both the Group and JICA are under the control of Mr. Eric Li (Shufu Li). Following the additional investment in JICA, ECARX (Hubei) Tech has a controlling interest of 70% in JICA. As the acquisition of JICA was a combination between entities under common control, the consolidated financial statements have been presented by combining assets, liabilities, revenues, expenses and equity of the Group and JICA using the pooling-of-interests method as if the transaction occurred at the beginning of the comparative period presented. All intercompany transactions and balances between the combining entities have been eliminated.</w:t>
      </w:r>
    </w:p>
    <w:p>
      <w:pPr>
        <w:spacing w:after="0" w:line="197"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Hubei Dongjun</w:t>
      </w:r>
    </w:p>
    <w:p>
      <w:pPr>
        <w:spacing w:after="0" w:line="215" w:lineRule="exact"/>
        <w:rPr>
          <w:rFonts w:ascii="Times New Roman" w:cs="Times New Roman" w:eastAsia="Times New Roman" w:hAnsi="Times New Roman"/>
          <w:sz w:val="18"/>
          <w:szCs w:val="18"/>
          <w:b w:val="1"/>
          <w:bCs w:val="1"/>
          <w:color w:val="auto"/>
        </w:rPr>
      </w:pPr>
    </w:p>
    <w:p>
      <w:pPr>
        <w:ind w:left="340"/>
        <w:spacing w:after="0" w:line="24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May 20, 2024, the Group entered into an agreement with Hubei Dongjun Industrial Group (the “Dongjun Group”) to acquire the remaining 51% interest in Hubei Dongjun from Dongjun Group for a total consideration of RMB23,500 (equivalent to US$3,230) of which RMB11,750 (equivalent to US$1,616) was paid in July 2024 and the remaining RMB11,750 (equivalent to US$1,614) was settled in 2025. Following this, Hubei Dongjun became a wholly-owned </w:t>
      </w:r>
      <w:r>
        <w:rPr>
          <w:rFonts w:ascii="Times New Roman" w:cs="Times New Roman" w:eastAsia="Times New Roman" w:hAnsi="Times New Roman"/>
          <w:sz w:val="18"/>
          <w:szCs w:val="18"/>
          <w:color w:val="1F2329"/>
        </w:rPr>
        <w:t>subsidiary of the Group. The acquisition was consummated in July 2024 and was recorded as a business combination achieved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2329"/>
        </w:rPr>
        <w:t>stages, or a step acquisition, using the acquisition method of accounting. At the acquisition date, the fair value of previously-held equity method investment was RMB</w:t>
      </w:r>
      <w:r>
        <w:rPr>
          <w:rFonts w:ascii="Times New Roman" w:cs="Times New Roman" w:eastAsia="Times New Roman" w:hAnsi="Times New Roman"/>
          <w:sz w:val="18"/>
          <w:szCs w:val="18"/>
          <w:color w:val="000000"/>
        </w:rPr>
        <w:t>22,200</w:t>
      </w:r>
      <w:r>
        <w:rPr>
          <w:rFonts w:ascii="Times New Roman" w:cs="Times New Roman" w:eastAsia="Times New Roman" w:hAnsi="Times New Roman"/>
          <w:sz w:val="18"/>
          <w:szCs w:val="18"/>
          <w:color w:val="1F2329"/>
        </w:rPr>
        <w:t xml:space="preserve"> (equivalent to US$</w:t>
      </w:r>
      <w:r>
        <w:rPr>
          <w:rFonts w:ascii="Times New Roman" w:cs="Times New Roman" w:eastAsia="Times New Roman" w:hAnsi="Times New Roman"/>
          <w:sz w:val="18"/>
          <w:szCs w:val="18"/>
          <w:color w:val="000000"/>
        </w:rPr>
        <w:t>3,039)</w:t>
      </w:r>
      <w:r>
        <w:rPr>
          <w:rFonts w:ascii="Times New Roman" w:cs="Times New Roman" w:eastAsia="Times New Roman" w:hAnsi="Times New Roman"/>
          <w:sz w:val="18"/>
          <w:szCs w:val="18"/>
          <w:color w:val="1F2329"/>
        </w:rPr>
        <w:t xml:space="preserve"> determined using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 w:right="560"/>
        <w:spacing w:after="0" w:line="266" w:lineRule="auto"/>
        <w:rPr>
          <w:sz w:val="20"/>
          <w:szCs w:val="20"/>
          <w:color w:val="auto"/>
        </w:rPr>
      </w:pPr>
      <w:r>
        <w:rPr>
          <w:rFonts w:ascii="Times New Roman" w:cs="Times New Roman" w:eastAsia="Times New Roman" w:hAnsi="Times New Roman"/>
          <w:sz w:val="18"/>
          <w:szCs w:val="18"/>
          <w:color w:val="1F2329"/>
        </w:rPr>
        <w:t>Income Approach valuation technique and resulted in a gain of RMB</w:t>
      </w:r>
      <w:r>
        <w:rPr>
          <w:rFonts w:ascii="Times New Roman" w:cs="Times New Roman" w:eastAsia="Times New Roman" w:hAnsi="Times New Roman"/>
          <w:sz w:val="18"/>
          <w:szCs w:val="18"/>
          <w:color w:val="000000"/>
        </w:rPr>
        <w:t>1,174</w:t>
      </w:r>
      <w:r>
        <w:rPr>
          <w:rFonts w:ascii="Times New Roman" w:cs="Times New Roman" w:eastAsia="Times New Roman" w:hAnsi="Times New Roman"/>
          <w:sz w:val="18"/>
          <w:szCs w:val="18"/>
          <w:color w:val="1F2329"/>
        </w:rPr>
        <w:t xml:space="preserve"> (equivalent to US$</w:t>
      </w:r>
      <w:r>
        <w:rPr>
          <w:rFonts w:ascii="Times New Roman" w:cs="Times New Roman" w:eastAsia="Times New Roman" w:hAnsi="Times New Roman"/>
          <w:sz w:val="18"/>
          <w:szCs w:val="18"/>
          <w:color w:val="000000"/>
        </w:rPr>
        <w:t>161)</w:t>
      </w:r>
      <w:r>
        <w:rPr>
          <w:rFonts w:ascii="Times New Roman" w:cs="Times New Roman" w:eastAsia="Times New Roman" w:hAnsi="Times New Roman"/>
          <w:sz w:val="18"/>
          <w:szCs w:val="18"/>
          <w:color w:val="1F2329"/>
        </w:rPr>
        <w:t xml:space="preserve"> on remeasurement of previously-held equity method investment to fair value.</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1F2329"/>
        </w:rPr>
        <w:t>The allocation of purchase price to the fair value of the assets acquired and liabilities assumed were as follows:</w:t>
      </w:r>
    </w:p>
    <w:p>
      <w:pPr>
        <w:spacing w:after="0" w:line="273"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0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8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third parties, net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goodwill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third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existing investment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 derecognized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6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68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040" w:type="dxa"/>
            <w:vAlign w:val="bottom"/>
          </w:tcPr>
          <w:p>
            <w:pPr>
              <w:spacing w:after="0"/>
              <w:rPr>
                <w:sz w:val="21"/>
                <w:szCs w:val="21"/>
                <w:color w:val="auto"/>
              </w:rPr>
            </w:pP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values of assets acquired and liabilities assumed excluding cash of RMB374</w:t>
            </w:r>
          </w:p>
        </w:tc>
        <w:tc>
          <w:tcPr>
            <w:tcW w:w="2040" w:type="dxa"/>
            <w:vAlign w:val="bottom"/>
            <w:shd w:val="clear" w:color="auto" w:fill="CCEEFF"/>
          </w:tcPr>
          <w:p>
            <w:pPr>
              <w:spacing w:after="0"/>
              <w:rPr>
                <w:sz w:val="19"/>
                <w:szCs w:val="19"/>
                <w:color w:val="auto"/>
              </w:rPr>
            </w:pPr>
          </w:p>
        </w:tc>
      </w:tr>
      <w:tr>
        <w:trPr>
          <w:trHeight w:val="24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to US$51)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goodwill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derecognized investment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payable as included in "accrued expenses and other current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7"/>
        </w:trPr>
        <w:tc>
          <w:tcPr>
            <w:tcW w:w="68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paid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332" w:right="100"/>
        <w:spacing w:after="0" w:line="250" w:lineRule="auto"/>
        <w:rPr>
          <w:sz w:val="20"/>
          <w:szCs w:val="20"/>
          <w:color w:val="auto"/>
        </w:rPr>
      </w:pPr>
      <w:r>
        <w:rPr>
          <w:rFonts w:ascii="Times New Roman" w:cs="Times New Roman" w:eastAsia="Times New Roman" w:hAnsi="Times New Roman"/>
          <w:sz w:val="18"/>
          <w:szCs w:val="18"/>
          <w:color w:val="auto"/>
        </w:rPr>
        <w:t>Goodwill has been allocated to our China reporting unit which is determined by the Group to be ECARX (Hubei) Tech and its subsidiaries, as this is a component of our operating segment which is a business and for which discrete financial information is available and segment management regularly reviews its operating results.</w:t>
      </w:r>
    </w:p>
    <w:p>
      <w:pPr>
        <w:spacing w:after="0" w:line="227" w:lineRule="exact"/>
        <w:rPr>
          <w:sz w:val="20"/>
          <w:szCs w:val="20"/>
          <w:color w:val="auto"/>
        </w:rPr>
      </w:pPr>
    </w:p>
    <w:p>
      <w:pPr>
        <w:ind w:left="312" w:hanging="312"/>
        <w:spacing w:after="0"/>
        <w:tabs>
          <w:tab w:leader="none" w:pos="31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 of Suzhou Photon-Matrix Optoelectronics Technology Co., Ltd (“Suzhou Photon Matrix”</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b w:val="1"/>
          <w:bCs w:val="1"/>
          <w:color w:val="auto"/>
        </w:rPr>
      </w:pPr>
    </w:p>
    <w:p>
      <w:pPr>
        <w:ind w:left="332" w:right="2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2024, the Group entered into share purchase agreements with existing third-party shareholders of Suzhou Photon- Matrix, pursuant to which the Group acquired 13.10% additional equity interest in Suzhou Photon-Matrix for a total cash consideration of RMB46,306 (equivalent to US$6,422). Prior to the transaction, the Group held 49.17% equity interest in Suzhou Photon-Matrix and accounted for the interest as an equity method investment (refer to Note 9). As a result of the transactions, the Group’s equity interest increased to 62.27%, and the Group obtained control in Suzhou Photon- Matrix.</w:t>
      </w:r>
    </w:p>
    <w:p>
      <w:pPr>
        <w:spacing w:after="0" w:line="184" w:lineRule="exact"/>
        <w:rPr>
          <w:rFonts w:ascii="Times New Roman" w:cs="Times New Roman" w:eastAsia="Times New Roman" w:hAnsi="Times New Roman"/>
          <w:sz w:val="18"/>
          <w:szCs w:val="18"/>
          <w:b w:val="1"/>
          <w:bCs w:val="1"/>
          <w:color w:val="auto"/>
        </w:rPr>
      </w:pPr>
    </w:p>
    <w:p>
      <w:pPr>
        <w:ind w:left="332"/>
        <w:spacing w:after="0" w:line="24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transaction was accounted for as an asset acquisition rather than a business combination as what the Group acquired does not include a substantive process that together with input to significantly contribute to the ability to create output. In determining the cost basis to be allocated to assets acquired, the Group measured its previously held equity interest and noncontrolling interest at their carrying values. The cost of assets acquired was allocated to the individual assets acquired or liabilities assumed based on their relative fair values. A deferred tax liability of RMB34,348 (equivalent to US$4,788) was determined by using a simultaneous equation, and this increased the carrying amount of the developed technology intangible asset acquired to RMB138,569 (equivalent to US$19,315). The Group assessed the estimated useful life of the developed technology to be 10 years.</w:t>
      </w:r>
    </w:p>
    <w:p>
      <w:pPr>
        <w:sectPr>
          <w:pgSz w:w="11900" w:h="16838" w:orient="portrait"/>
          <w:cols w:equalWidth="0" w:num="1">
            <w:col w:w="11232"/>
          </w:cols>
          <w:pgMar w:left="328" w:top="337"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type w:val="continuous"/>
        </w:sectPr>
      </w:pPr>
    </w:p>
    <w:bookmarkStart w:id="157" w:name="page158"/>
    <w:bookmarkEnd w:id="157"/>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1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7"/>
        </w:trPr>
        <w:tc>
          <w:tcPr>
            <w:tcW w:w="64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 excluding cash of RMB1,121 (equivalent to</w:t>
            </w:r>
          </w:p>
        </w:tc>
        <w:tc>
          <w:tcPr>
            <w:tcW w:w="2100" w:type="dxa"/>
            <w:vAlign w:val="bottom"/>
          </w:tcPr>
          <w:p>
            <w:pPr>
              <w:spacing w:after="0"/>
              <w:rPr>
                <w:sz w:val="19"/>
                <w:szCs w:val="19"/>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US$156)</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r>
      <w:tr>
        <w:trPr>
          <w:trHeight w:val="27"/>
        </w:trPr>
        <w:tc>
          <w:tcPr>
            <w:tcW w:w="6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of derecognized investment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7"/>
        </w:trPr>
        <w:tc>
          <w:tcPr>
            <w:tcW w:w="6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paid</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6,266</w:t>
            </w:r>
          </w:p>
        </w:tc>
      </w:tr>
      <w:tr>
        <w:trPr>
          <w:trHeight w:val="21"/>
        </w:trPr>
        <w:tc>
          <w:tcPr>
            <w:tcW w:w="64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In July 2024, the Group further acquired 0.69% interest in Suzhou-Photon Matrix for a consideration of US$332 from a third-party shareholder and the difference of US$295 between consideration paid and carrying amount of the acquired interest was recorded in additional paid-in capital as this transaction is presented as equity transaction among owners.</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Cash and restricted cash</w:t>
      </w:r>
    </w:p>
    <w:p>
      <w:pPr>
        <w:spacing w:after="0" w:line="22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 reconciliation of cash at bank and restricted cash in the consolidated balance sheets to the total amount in the consolidated statement of cash flows is as follows:</w:t>
      </w:r>
    </w:p>
    <w:p>
      <w:pPr>
        <w:spacing w:after="0" w:line="20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41910</wp:posOffset>
            </wp:positionV>
            <wp:extent cx="1860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320" w:type="dxa"/>
            <w:vAlign w:val="bottom"/>
            <w:gridSpan w:val="2"/>
          </w:tcPr>
          <w:p>
            <w:pPr>
              <w:ind w:left="80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banks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87,118</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7"/>
        </w:trPr>
        <w:tc>
          <w:tcPr>
            <w:tcW w:w="7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shown in the consolidated statements of cash flows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50,164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93,256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Group’s restricted cash of US$5,805 and US$6,138 were pledged for notes payable, and US$109 and nil were restricted due to a dispute with a customer, respectively.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8" w:name="page159"/>
    <w:bookmarkEnd w:id="158"/>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restricted cash are amounts deposited with financial institutions at the locations noted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0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institutions in the Chinese mainland</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Denominated in RMB</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Denominated in US$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Denominated in Great Britain Pound (“GBP”)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Hong Kong Dollar (“HKD”)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 held in the Chinese mainland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41,729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institutions in Sweden</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Denominated in Swedish Krona (“SEK”)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Denominated in US$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Denominated in Euro</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 held in Sweden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10,164</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institutions in the United Kingdom</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Denominated in GBP</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 held in the United Kingdom</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other jurisdictions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50,164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93,256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on hand</w:t>
            </w:r>
          </w:p>
        </w:tc>
        <w:tc>
          <w:tcPr>
            <w:tcW w:w="2060" w:type="dxa"/>
            <w:vAlign w:val="bottom"/>
            <w:tcBorders>
              <w:bottom w:val="single" w:sz="8" w:color="CCEEFF"/>
            </w:tcBorders>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balances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50,164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93,256</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third parties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third parties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0" w:type="dxa"/>
            <w:vAlign w:val="bottom"/>
          </w:tcPr>
          <w:p>
            <w:pPr>
              <w:spacing w:after="0"/>
              <w:rPr>
                <w:sz w:val="24"/>
                <w:szCs w:val="24"/>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third parties, net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related parties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related parties, net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187,330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185,536</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vMerge w:val="restart"/>
          </w:tcPr>
          <w:p>
            <w:pPr>
              <w:ind w:left="5120"/>
              <w:spacing w:after="0"/>
              <w:rPr>
                <w:sz w:val="20"/>
                <w:szCs w:val="20"/>
                <w:color w:val="auto"/>
              </w:rPr>
            </w:pPr>
            <w:r>
              <w:rPr>
                <w:rFonts w:ascii="Times New Roman" w:cs="Times New Roman" w:eastAsia="Times New Roman" w:hAnsi="Times New Roman"/>
                <w:sz w:val="18"/>
                <w:szCs w:val="18"/>
                <w:color w:val="auto"/>
              </w:rPr>
              <w:t>F-29</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Borders>
              <w:bottom w:val="single" w:sz="8" w:color="9A9A9A"/>
            </w:tcBorders>
          </w:tcPr>
          <w:p>
            <w:pPr>
              <w:spacing w:after="0"/>
              <w:rPr>
                <w:sz w:val="8"/>
                <w:szCs w:val="8"/>
                <w:color w:val="auto"/>
              </w:rPr>
            </w:pPr>
          </w:p>
        </w:tc>
        <w:tc>
          <w:tcPr>
            <w:tcW w:w="74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movement of the allowance for credit losses is as follows:</w:t>
      </w:r>
    </w:p>
    <w:p>
      <w:pPr>
        <w:spacing w:after="0" w:line="273"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r>
      <w:tr>
        <w:trPr>
          <w:trHeight w:val="37"/>
        </w:trPr>
        <w:tc>
          <w:tcPr>
            <w:tcW w:w="5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020" w:type="dxa"/>
            <w:vAlign w:val="bottom"/>
            <w:gridSpan w:val="2"/>
          </w:tcPr>
          <w:p>
            <w:pPr>
              <w:ind w:left="6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5960" w:type="dxa"/>
            <w:vAlign w:val="bottom"/>
          </w:tcPr>
          <w:p>
            <w:pPr>
              <w:spacing w:after="0"/>
              <w:rPr>
                <w:sz w:val="16"/>
                <w:szCs w:val="16"/>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5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0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8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w:t>
            </w:r>
          </w:p>
        </w:tc>
      </w:tr>
      <w:tr>
        <w:trPr>
          <w:trHeight w:val="21"/>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Factoring agreement</w:t>
      </w:r>
    </w:p>
    <w:p>
      <w:pPr>
        <w:spacing w:after="0" w:line="106" w:lineRule="exact"/>
        <w:rPr>
          <w:sz w:val="20"/>
          <w:szCs w:val="20"/>
          <w:color w:val="auto"/>
        </w:rPr>
      </w:pPr>
    </w:p>
    <w:p>
      <w:pPr>
        <w:ind w:left="332" w:right="20"/>
        <w:spacing w:after="0" w:line="239" w:lineRule="auto"/>
        <w:rPr>
          <w:sz w:val="20"/>
          <w:szCs w:val="20"/>
          <w:color w:val="auto"/>
        </w:rPr>
      </w:pPr>
      <w:r>
        <w:rPr>
          <w:rFonts w:ascii="Times New Roman" w:cs="Times New Roman" w:eastAsia="Times New Roman" w:hAnsi="Times New Roman"/>
          <w:sz w:val="18"/>
          <w:szCs w:val="18"/>
          <w:color w:val="auto"/>
        </w:rPr>
        <w:t>In March 2024, the Group entered into an accounts receivable factoring agreement with a finance company of Geely Group with a minimum interest rate of 6% per annum. The one-year factoring agreement provides the Group with factoring limits of US$20,528 on a revolving basis, measured by the aggregate amount advanced for the unpaid balance of certain trade accounts receivable from specified customers from time to time. In October 2024, the interest rate was reduced to 4.8% per annum and the factoring limits were increased from US$20,528 to US$35,035. In November 2025, the interest rate increased to 5.0% and the factoring limits remained unchanged.</w:t>
      </w:r>
    </w:p>
    <w:p>
      <w:pPr>
        <w:spacing w:after="0" w:line="184" w:lineRule="exact"/>
        <w:rPr>
          <w:sz w:val="20"/>
          <w:szCs w:val="20"/>
          <w:color w:val="auto"/>
        </w:rPr>
      </w:pPr>
    </w:p>
    <w:p>
      <w:pPr>
        <w:ind w:left="332"/>
        <w:spacing w:after="0" w:line="241" w:lineRule="auto"/>
        <w:rPr>
          <w:sz w:val="20"/>
          <w:szCs w:val="20"/>
          <w:color w:val="auto"/>
        </w:rPr>
      </w:pPr>
      <w:r>
        <w:rPr>
          <w:rFonts w:ascii="Times New Roman" w:cs="Times New Roman" w:eastAsia="Times New Roman" w:hAnsi="Times New Roman"/>
          <w:sz w:val="18"/>
          <w:szCs w:val="18"/>
          <w:color w:val="auto"/>
        </w:rPr>
        <w:t>The Group accounts for transfers of accounts receivable in accordance with ASC 860, Transfers and Servicing (“ASC 860”). Pursuant to ASC 860, the Group does not derecognize customers’ accounts receivable when receiving advance payments from the finance company due to the recourse obligations retained by the Group. As of December 31, 2024 and 2025, factoring accounts receivable of US$52,335 and US$36,051, respectively, were not derecognized and were restricted as security for the advanced amounts of US$21,021 and US$28,292 received by the Group, respectively, which were recorded as amounts due to related parties on the consolidated balance sheets. The factoring proceeds from the finance company was considered financing activities and reported as “Borrowings from related parties” in the consolidated statements of cash flows.</w:t>
      </w:r>
    </w:p>
    <w:p>
      <w:pPr>
        <w:spacing w:after="0" w:line="193" w:lineRule="exact"/>
        <w:rPr>
          <w:sz w:val="20"/>
          <w:szCs w:val="20"/>
          <w:color w:val="auto"/>
        </w:rPr>
      </w:pPr>
    </w:p>
    <w:p>
      <w:pPr>
        <w:ind w:left="312" w:hanging="312"/>
        <w:spacing w:after="0"/>
        <w:tabs>
          <w:tab w:leader="none" w:pos="31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rFonts w:ascii="Times New Roman" w:cs="Times New Roman" w:eastAsia="Times New Roman" w:hAnsi="Times New Roman"/>
          <w:sz w:val="18"/>
          <w:szCs w:val="18"/>
          <w:b w:val="1"/>
          <w:bCs w:val="1"/>
          <w:color w:val="auto"/>
        </w:rPr>
      </w:pPr>
    </w:p>
    <w:p>
      <w:pPr>
        <w:ind w:left="332"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collects notes receivable from its customers for sales of automotive computing platform, SoC Core Modules and other products. Notes receivable as of December 31, 2024 and 2025 were bank acceptance notes.</w:t>
      </w:r>
    </w:p>
    <w:p>
      <w:pPr>
        <w:spacing w:after="0" w:line="157"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consisted of the following:</w:t>
      </w:r>
    </w:p>
    <w:p>
      <w:pPr>
        <w:spacing w:after="0" w:line="273" w:lineRule="exact"/>
        <w:rPr>
          <w:sz w:val="20"/>
          <w:szCs w:val="20"/>
          <w:color w:val="auto"/>
        </w:rPr>
      </w:pPr>
    </w:p>
    <w:p>
      <w:pPr>
        <w:ind w:left="8672"/>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41910</wp:posOffset>
            </wp:positionV>
            <wp:extent cx="18605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62"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8320" w:type="dxa"/>
            <w:vAlign w:val="bottom"/>
            <w:gridSpan w:val="2"/>
          </w:tcPr>
          <w:p>
            <w:pPr>
              <w:ind w:left="80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r>
      <w:tr>
        <w:trPr>
          <w:trHeight w:val="27"/>
        </w:trPr>
        <w:tc>
          <w:tcPr>
            <w:tcW w:w="7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r>
      <w:tr>
        <w:trPr>
          <w:trHeight w:val="26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31,865</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62,341</w:t>
            </w:r>
          </w:p>
        </w:tc>
      </w:tr>
      <w:tr>
        <w:trPr>
          <w:trHeight w:val="21"/>
        </w:trPr>
        <w:tc>
          <w:tcPr>
            <w:tcW w:w="7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Group recorded inventory write-down of US$1,502, US$925 and US$1,340 for the years ended December 31, 2023, 2024 and 2025, respectively.</w:t>
      </w:r>
    </w:p>
    <w:p>
      <w:pPr>
        <w:sectPr>
          <w:pgSz w:w="11900" w:h="16838" w:orient="portrait"/>
          <w:cols w:equalWidth="0" w:num="1">
            <w:col w:w="11192"/>
          </w:cols>
          <w:pgMar w:left="328"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type w:val="continuous"/>
        </w:sectPr>
      </w:pPr>
    </w:p>
    <w:bookmarkStart w:id="160" w:name="page161"/>
    <w:bookmarkEnd w:id="160"/>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Prepayments and other current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 net consisted of the following:</w:t>
      </w:r>
    </w:p>
    <w:p>
      <w:pPr>
        <w:spacing w:after="0" w:line="27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41910</wp:posOffset>
            </wp:positionV>
            <wp:extent cx="18770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00" w:type="dxa"/>
            <w:vAlign w:val="bottom"/>
            <w:gridSpan w:val="2"/>
          </w:tcPr>
          <w:p>
            <w:pPr>
              <w:ind w:left="81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to suppliers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partial sale of equity interest in SiEngine (refer to Note 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17,947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cost assets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Deductible VAT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7"/>
        </w:trPr>
        <w:tc>
          <w:tcPr>
            <w:tcW w:w="7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6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 net</w:t>
            </w:r>
          </w:p>
        </w:tc>
        <w:tc>
          <w:tcPr>
            <w:tcW w:w="8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61,531</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36,383</w:t>
            </w:r>
          </w:p>
        </w:tc>
      </w:tr>
      <w:tr>
        <w:trPr>
          <w:trHeight w:val="20"/>
        </w:trPr>
        <w:tc>
          <w:tcPr>
            <w:tcW w:w="7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A reversal of provision of US$185 was recorded for prepayments and other current assets for the year ended December 31, 2023. No provision was made for prepayments and other current assets as of December 31, 2024 and 2025, respectively.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Long-term investments, net</w:t>
      </w:r>
    </w:p>
    <w:p>
      <w:pPr>
        <w:spacing w:after="0" w:line="27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41910</wp:posOffset>
            </wp:positionV>
            <wp:extent cx="18770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40" w:type="dxa"/>
            <w:vAlign w:val="bottom"/>
            <w:gridSpan w:val="2"/>
          </w:tcPr>
          <w:p>
            <w:pPr>
              <w:ind w:left="8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5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SiEngine Technology Co., Ltd. (“SiEngine”)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Smart Automobile Co., Ltd. (“Smart”)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Shenzhen U Chance Technology Co., Ltd. (“U Chance”)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7"/>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ACO Tech Sdn. Bhd. (“ACO Tech”)</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7"/>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42,833</w:t>
            </w:r>
          </w:p>
        </w:tc>
      </w:tr>
      <w:tr>
        <w:trPr>
          <w:trHeight w:val="26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investments, net</w:t>
            </w: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61,503</w:t>
            </w:r>
          </w:p>
        </w:tc>
      </w:tr>
      <w:tr>
        <w:trPr>
          <w:trHeight w:val="20"/>
        </w:trPr>
        <w:tc>
          <w:tcPr>
            <w:tcW w:w="7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Equity method investments, net</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Management evaluated whether there was other-than-temporary impairment based on the facts, including recent financing activities, projected and historical financial performance of the investees. Nil, US$894 and nil impairment loss was recognized for the years ended December 31, 2023, 2024 and 2025, which was included in the (Loss) gain from equity method investments.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held several equity method investments as of December 31, 2024 and 2025, which included:</w:t>
      </w:r>
    </w:p>
    <w:p>
      <w:pPr>
        <w:spacing w:after="0" w:line="223"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SiEngine</w:t>
      </w:r>
    </w:p>
    <w:p>
      <w:pPr>
        <w:spacing w:after="0" w:line="227" w:lineRule="exact"/>
        <w:rPr>
          <w:rFonts w:ascii="Times New Roman" w:cs="Times New Roman" w:eastAsia="Times New Roman" w:hAnsi="Times New Roman"/>
          <w:sz w:val="18"/>
          <w:szCs w:val="18"/>
          <w:color w:val="auto"/>
        </w:rPr>
      </w:pPr>
    </w:p>
    <w:p>
      <w:pPr>
        <w:ind w:left="6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 July 26, 2021, the Group acquired 34.61% equity interest of SiEngine from the controlling shareholder of the Company, at the cash consideration of US$10,600 plus the issuance of 9,882,082 Series B Redeemable Convertible Preferred Shares at the issuance price of US$9.70 per share valuing US$95,800. The Group initially recognized the investment at the carrying amount of the Company’s controlling shareholder, which was nil, as a transaction between entities under common control. The excess of consideration over the carrying amount of the equity investment was recorded as a deemed dividend in the amount of RMB689,670 (equivalent to US$</w:t>
      </w:r>
      <w:r>
        <w:rPr>
          <w:rFonts w:ascii="Times New Roman" w:cs="Times New Roman" w:eastAsia="Times New Roman" w:hAnsi="Times New Roman"/>
          <w:sz w:val="18"/>
          <w:szCs w:val="18"/>
          <w:color w:val="000000"/>
        </w:rPr>
        <w:t>106,408)</w:t>
      </w:r>
    </w:p>
    <w:p>
      <w:pPr>
        <w:sectPr>
          <w:pgSz w:w="11900" w:h="16838" w:orient="portrait"/>
          <w:cols w:equalWidth="0" w:num="1">
            <w:col w:w="11020"/>
          </w:cols>
          <w:pgMar w:left="320" w:top="337" w:right="55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right="20"/>
        <w:spacing w:after="0" w:line="261" w:lineRule="auto"/>
        <w:rPr>
          <w:sz w:val="20"/>
          <w:szCs w:val="20"/>
          <w:color w:val="auto"/>
        </w:rPr>
      </w:pPr>
      <w:r>
        <w:rPr>
          <w:rFonts w:ascii="Times New Roman" w:cs="Times New Roman" w:eastAsia="Times New Roman" w:hAnsi="Times New Roman"/>
          <w:sz w:val="18"/>
          <w:szCs w:val="18"/>
          <w:color w:val="231F20"/>
        </w:rPr>
        <w:t xml:space="preserve">to the controlling shareholder. In December 2024, the Group disposed of </w:t>
      </w:r>
      <w:r>
        <w:rPr>
          <w:rFonts w:ascii="Times New Roman" w:cs="Times New Roman" w:eastAsia="Times New Roman" w:hAnsi="Times New Roman"/>
          <w:sz w:val="18"/>
          <w:szCs w:val="18"/>
          <w:color w:val="000000"/>
        </w:rPr>
        <w:t>3.29%</w:t>
      </w:r>
      <w:r>
        <w:rPr>
          <w:rFonts w:ascii="Times New Roman" w:cs="Times New Roman" w:eastAsia="Times New Roman" w:hAnsi="Times New Roman"/>
          <w:sz w:val="18"/>
          <w:szCs w:val="18"/>
          <w:color w:val="231F20"/>
        </w:rPr>
        <w:t xml:space="preserve"> of its equity interest in SiEngine to a third-party investor for a consideration of RMB130,000 (equivalent to US$</w:t>
      </w:r>
      <w:r>
        <w:rPr>
          <w:rFonts w:ascii="Times New Roman" w:cs="Times New Roman" w:eastAsia="Times New Roman" w:hAnsi="Times New Roman"/>
          <w:sz w:val="18"/>
          <w:szCs w:val="18"/>
          <w:color w:val="000000"/>
        </w:rPr>
        <w:t>17,947), which was received during the year ended December 31, 2025</w:t>
      </w:r>
      <w:r>
        <w:rPr>
          <w:rFonts w:ascii="Times New Roman" w:cs="Times New Roman" w:eastAsia="Times New Roman" w:hAnsi="Times New Roman"/>
          <w:sz w:val="18"/>
          <w:szCs w:val="18"/>
          <w:color w:val="231F20"/>
        </w:rPr>
        <w:t xml:space="preserve">. As the carrying value of the Group’s equity interest in SiEngine is zero, the entire amount was recorded as a gain and included in </w:t>
      </w:r>
      <w:r>
        <w:rPr>
          <w:rFonts w:ascii="Times New Roman" w:cs="Times New Roman" w:eastAsia="Times New Roman" w:hAnsi="Times New Roman"/>
          <w:sz w:val="18"/>
          <w:szCs w:val="18"/>
          <w:color w:val="000000"/>
        </w:rPr>
        <w:t>(Loss) gain from equity method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investments, net</w:t>
      </w:r>
      <w:r>
        <w:rPr>
          <w:rFonts w:ascii="Times New Roman" w:cs="Times New Roman" w:eastAsia="Times New Roman" w:hAnsi="Times New Roman"/>
          <w:sz w:val="18"/>
          <w:szCs w:val="18"/>
          <w:color w:val="231F20"/>
        </w:rPr>
        <w:t>.</w:t>
      </w:r>
    </w:p>
    <w:p>
      <w:pPr>
        <w:spacing w:after="0" w:line="178" w:lineRule="exact"/>
        <w:rPr>
          <w:sz w:val="20"/>
          <w:szCs w:val="20"/>
          <w:color w:val="auto"/>
        </w:rPr>
      </w:pPr>
    </w:p>
    <w:p>
      <w:pPr>
        <w:ind w:left="400" w:hanging="328"/>
        <w:spacing w:after="0"/>
        <w:tabs>
          <w:tab w:leader="none" w:pos="40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auto"/>
        </w:rPr>
        <w:t>smart</w:t>
      </w:r>
    </w:p>
    <w:p>
      <w:pPr>
        <w:spacing w:after="0" w:line="227" w:lineRule="exact"/>
        <w:rPr>
          <w:rFonts w:ascii="Times New Roman" w:cs="Times New Roman" w:eastAsia="Times New Roman" w:hAnsi="Times New Roman"/>
          <w:sz w:val="18"/>
          <w:szCs w:val="18"/>
          <w:color w:val="231F20"/>
        </w:rPr>
      </w:pPr>
    </w:p>
    <w:p>
      <w:pPr>
        <w:ind w:left="400" w:right="80"/>
        <w:spacing w:after="0" w:line="26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 November 2023, the Group entered into a shareholders’ agreement with smart Automobile Co., Ltd., a subsidiary of smart mobility Pte. Ltd, to establish a China-based joint venture with a cash consideration of RMB49,000 (equivalent to US$6,777) for the development of automotive operating system software, in which the Group owns 49% equity interest. The Group settled the cash consideration by March 2024.</w:t>
      </w:r>
    </w:p>
    <w:p>
      <w:pPr>
        <w:spacing w:after="0" w:line="175" w:lineRule="exact"/>
        <w:rPr>
          <w:rFonts w:ascii="Times New Roman" w:cs="Times New Roman" w:eastAsia="Times New Roman" w:hAnsi="Times New Roman"/>
          <w:sz w:val="18"/>
          <w:szCs w:val="18"/>
          <w:color w:val="231F20"/>
        </w:rPr>
      </w:pPr>
    </w:p>
    <w:p>
      <w:pPr>
        <w:jc w:val="both"/>
        <w:ind w:left="400" w:right="200"/>
        <w:spacing w:after="0" w:line="26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 December 2025, the Group disposed of its entire equity interest in the joint venture for a consideration of RMB2,369 (equivalent to US$334). As the carrying value of the Group’s equity interest in this joint venture is zero, the entire amount was recorded as a gain and included in (Loss) gain from equity method investments.</w:t>
      </w:r>
    </w:p>
    <w:p>
      <w:pPr>
        <w:spacing w:after="0" w:line="173" w:lineRule="exact"/>
        <w:rPr>
          <w:rFonts w:ascii="Times New Roman" w:cs="Times New Roman" w:eastAsia="Times New Roman" w:hAnsi="Times New Roman"/>
          <w:sz w:val="18"/>
          <w:szCs w:val="18"/>
          <w:color w:val="231F20"/>
        </w:rPr>
      </w:pPr>
    </w:p>
    <w:p>
      <w:pPr>
        <w:ind w:left="400" w:hanging="328"/>
        <w:spacing w:after="0"/>
        <w:tabs>
          <w:tab w:leader="none" w:pos="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 Chance</w:t>
      </w:r>
    </w:p>
    <w:p>
      <w:pPr>
        <w:spacing w:after="0" w:line="227" w:lineRule="exact"/>
        <w:rPr>
          <w:rFonts w:ascii="Times New Roman" w:cs="Times New Roman" w:eastAsia="Times New Roman" w:hAnsi="Times New Roman"/>
          <w:sz w:val="18"/>
          <w:szCs w:val="18"/>
          <w:color w:val="auto"/>
        </w:rPr>
      </w:pPr>
    </w:p>
    <w:p>
      <w:pPr>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On September 1, 2021, the Group sold 2% equity interest of a PRC subsidiary, Hubei Dongjun, at the cash consideration of RMB1,000 (equivalent to US$155). As a result of the transaction, the Group’s equity interest in the subsidiary decreased from 51% to 49% and the </w:t>
      </w:r>
      <w:r>
        <w:rPr>
          <w:rFonts w:ascii="Times New Roman" w:cs="Times New Roman" w:eastAsia="Times New Roman" w:hAnsi="Times New Roman"/>
          <w:sz w:val="18"/>
          <w:szCs w:val="18"/>
          <w:color w:val="000000"/>
        </w:rPr>
        <w:t>Group lost control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over the subsidiary.</w:t>
      </w:r>
    </w:p>
    <w:p>
      <w:pPr>
        <w:spacing w:after="0" w:line="189" w:lineRule="exact"/>
        <w:rPr>
          <w:rFonts w:ascii="Times New Roman" w:cs="Times New Roman" w:eastAsia="Times New Roman" w:hAnsi="Times New Roman"/>
          <w:sz w:val="18"/>
          <w:szCs w:val="18"/>
          <w:color w:val="auto"/>
        </w:rPr>
      </w:pPr>
    </w:p>
    <w:p>
      <w:pPr>
        <w:ind w:left="400" w:right="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Hubei Dongjun distributed on a pro rata basis its equity interest in U Chance to each of its equity holders, namely the Group and Dongjun Group based on their respective shareholding. As a result, U Chance was spun-off from Hubei Dongjun and the Group directly held 49% equity interest in U Chance. The Group continues to account for its investment in U Chance as equity method investment at its carrying amount. The Group further invested RMB4,900 (equivalent to US$674) to U Chance after the spin-off.</w:t>
      </w:r>
    </w:p>
    <w:p>
      <w:pPr>
        <w:spacing w:after="0" w:line="20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received distribution of US$294 from U Chance in 2025.</w:t>
      </w:r>
    </w:p>
    <w:p>
      <w:pPr>
        <w:spacing w:after="0" w:line="223" w:lineRule="exact"/>
        <w:rPr>
          <w:rFonts w:ascii="Times New Roman" w:cs="Times New Roman" w:eastAsia="Times New Roman" w:hAnsi="Times New Roman"/>
          <w:sz w:val="18"/>
          <w:szCs w:val="18"/>
          <w:color w:val="auto"/>
        </w:rPr>
      </w:pPr>
    </w:p>
    <w:p>
      <w:pPr>
        <w:ind w:left="400" w:hanging="328"/>
        <w:spacing w:after="0"/>
        <w:tabs>
          <w:tab w:leader="none" w:pos="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ACO tech</w:t>
      </w:r>
    </w:p>
    <w:p>
      <w:pPr>
        <w:spacing w:after="0" w:line="254" w:lineRule="exact"/>
        <w:rPr>
          <w:rFonts w:ascii="Times New Roman" w:cs="Times New Roman" w:eastAsia="Times New Roman" w:hAnsi="Times New Roman"/>
          <w:sz w:val="18"/>
          <w:szCs w:val="18"/>
          <w:color w:val="auto"/>
        </w:rPr>
      </w:pPr>
    </w:p>
    <w:p>
      <w:pPr>
        <w:ind w:left="40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the Group established ACO Tech, a joint venture with Proton Edar Sdn. Bhd. (a subsidiary of Proton Holdings Bhd.), to localize and supply automotive computing platform products for Proton. The Group holds a 10% equity interest in ACO Tech.</w:t>
      </w:r>
    </w:p>
    <w:p>
      <w:pPr>
        <w:spacing w:after="0" w:line="189" w:lineRule="exact"/>
        <w:rPr>
          <w:sz w:val="20"/>
          <w:szCs w:val="20"/>
          <w:color w:val="auto"/>
        </w:rPr>
      </w:pPr>
    </w:p>
    <w:p>
      <w:pPr>
        <w:ind w:left="400" w:right="560"/>
        <w:spacing w:after="0" w:line="266" w:lineRule="auto"/>
        <w:rPr>
          <w:sz w:val="20"/>
          <w:szCs w:val="20"/>
          <w:color w:val="auto"/>
        </w:rPr>
      </w:pPr>
      <w:r>
        <w:rPr>
          <w:rFonts w:ascii="Times New Roman" w:cs="Times New Roman" w:eastAsia="Times New Roman" w:hAnsi="Times New Roman"/>
          <w:sz w:val="18"/>
          <w:szCs w:val="18"/>
          <w:color w:val="auto"/>
        </w:rPr>
        <w:t>In 2025, the Group received distributions of MYR4,000 (equivalent to US$951) from ACO Tech, which exceeded the carrying value of the investment. The excess of US$353 was recognized as equity method earnings in the year and included in (loss)gain from equity method investments.</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5" w:lineRule="exact"/>
        <w:rPr>
          <w:sz w:val="20"/>
          <w:szCs w:val="20"/>
          <w:color w:val="auto"/>
        </w:rPr>
      </w:pPr>
    </w:p>
    <w:p>
      <w:pPr>
        <w:ind w:left="400" w:hanging="328"/>
        <w:spacing w:after="0"/>
        <w:tabs>
          <w:tab w:leader="none" w:pos="4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Luminar</w:t>
      </w:r>
    </w:p>
    <w:p>
      <w:pPr>
        <w:spacing w:after="0" w:line="229" w:lineRule="exact"/>
        <w:rPr>
          <w:rFonts w:ascii="Times New Roman" w:cs="Times New Roman" w:eastAsia="Times New Roman" w:hAnsi="Times New Roman"/>
          <w:sz w:val="18"/>
          <w:szCs w:val="18"/>
          <w:b w:val="1"/>
          <w:bCs w:val="1"/>
          <w:color w:val="auto"/>
        </w:rPr>
      </w:pPr>
    </w:p>
    <w:p>
      <w:pPr>
        <w:ind w:left="40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2022, the Group entered into strategic investment agreements with Luminar Technologies, Inc., (“Luminar”) a Delaware corporation. Pursuant to the strategic investment agreement, Luminar was to fulfil the agreement obligation by electing on its sole discretion to (1) pay cash in the amount of US$15,000 to the Group, or (2) issue shares to the Group in the number equal to the quotient of US$15,000 divided by the volume-weighted average price of Luminar’s shares listed on Nasdaq for twenty (20) consecutive trading days immediately preceding the closing date of the Group’s merger with COVA, at the par value of US$0.0001 per share, provided that no fractional shares will be issued, upon the completion of the Group’s Merger with COVA. Pursuant to this agreement, upon the Group’s Merger with COVA, Luminar settled its obligation by issuing 2,030,374 shares to the Company worth US$12,588. The fair value of these shares decreased to US$728 and US$11 as of December 31, 2024 and 2025, respectively. The fair value change of US$6,114 and US$717 were recorded in</w:t>
      </w:r>
    </w:p>
    <w:p>
      <w:pPr>
        <w:sectPr>
          <w:pgSz w:w="11900" w:h="16838" w:orient="portrait"/>
          <w:cols w:equalWidth="0" w:num="1">
            <w:col w:w="10980"/>
          </w:cols>
          <w:pgMar w:left="580" w:top="33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80645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right="380"/>
        <w:spacing w:after="0" w:line="282" w:lineRule="auto"/>
        <w:rPr>
          <w:sz w:val="20"/>
          <w:szCs w:val="20"/>
          <w:color w:val="auto"/>
        </w:rPr>
      </w:pPr>
      <w:r>
        <w:rPr>
          <w:rFonts w:ascii="Times New Roman" w:cs="Times New Roman" w:eastAsia="Times New Roman" w:hAnsi="Times New Roman"/>
          <w:sz w:val="18"/>
          <w:szCs w:val="18"/>
          <w:color w:val="auto"/>
        </w:rPr>
        <w:t>Other non-operating (expenses) income, net in the consolidated statements of comprehensive loss for the years ended December 31, 2024 and 2025, respectively. In December 2025, Luminar filed for Chapter 11 bankruptcy.</w:t>
      </w:r>
    </w:p>
    <w:p>
      <w:pPr>
        <w:spacing w:after="0" w:line="158" w:lineRule="exact"/>
        <w:rPr>
          <w:sz w:val="20"/>
          <w:szCs w:val="20"/>
          <w:color w:val="auto"/>
        </w:rPr>
      </w:pPr>
    </w:p>
    <w:p>
      <w:pPr>
        <w:ind w:left="400" w:hanging="328"/>
        <w:spacing w:after="0"/>
        <w:tabs>
          <w:tab w:leader="none" w:pos="4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Lotus Technology Inc.</w:t>
      </w:r>
    </w:p>
    <w:p>
      <w:pPr>
        <w:spacing w:after="0" w:line="243" w:lineRule="exact"/>
        <w:rPr>
          <w:sz w:val="20"/>
          <w:szCs w:val="20"/>
          <w:color w:val="auto"/>
        </w:rPr>
      </w:pPr>
    </w:p>
    <w:p>
      <w:pPr>
        <w:ind w:left="400" w:right="20"/>
        <w:spacing w:after="0"/>
        <w:rPr>
          <w:sz w:val="20"/>
          <w:szCs w:val="20"/>
          <w:color w:val="auto"/>
        </w:rPr>
      </w:pPr>
      <w:r>
        <w:rPr>
          <w:rFonts w:ascii="Times New Roman" w:cs="Times New Roman" w:eastAsia="Times New Roman" w:hAnsi="Times New Roman"/>
          <w:sz w:val="18"/>
          <w:szCs w:val="18"/>
          <w:color w:val="auto"/>
        </w:rPr>
        <w:t>On December 23, 2025, the Company entered into a Subscription Agreement with Lotus Technology Inc. (“Lotus”), ultimately controlled by the controlling shareholder of the Company, to purchase 16,788,321 ordinary shares of Lotus at per share price of US$1.37 for an aggregate subscription amount of US $23,000. As of December 31, 2025, the Company purchased the first tranche of 12,408,759 ordinary shares of Lotus for US$17,000 and recorded a gain of US$496 due to the change in market price of Lotus’s ordinary shares in Other non-operating (expenses) income, net in the consolidated statements of comprehensive loss. The Group also recognized the forward contract to purchase the remaining 4,379,562 ordinary shares of Lotus at a fixed price of US$1.37 per share as derivative asset which was included in prepayments and other current assets and recorded a gain on fair value change of US$175.</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Available-for-sale debt investments</w:t>
      </w:r>
    </w:p>
    <w:p>
      <w:pPr>
        <w:spacing w:after="0" w:line="225" w:lineRule="exact"/>
        <w:rPr>
          <w:sz w:val="20"/>
          <w:szCs w:val="20"/>
          <w:color w:val="auto"/>
        </w:rPr>
      </w:pPr>
    </w:p>
    <w:p>
      <w:pPr>
        <w:ind w:left="400" w:hanging="328"/>
        <w:spacing w:after="0"/>
        <w:tabs>
          <w:tab w:leader="none" w:pos="4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DreamSmart Technology Pte. Ltd. (“DreamSmart Singapore”)</w:t>
      </w:r>
    </w:p>
    <w:p>
      <w:pPr>
        <w:spacing w:after="0" w:line="24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Company, through its subsidiary, entered into a Convertible Loan arrangement with DreamSmart Singapore, ultimately controlled by the controlling shareholder of the Company, pursuant to which the Company provided RMB300,000 (equivalent to US$42,979) of funding to a subsidiary of DreamSmart Singapore, Hubei DreamSmart Group Co., Ltd. (“DreamSmart Hubei”) with a contractual term of 36 months. DreamSmart Singapore indirectly holds 100% of the equity interest in DreamSmart Hubei. The investment was classified as available-for-sale debt investment because the investment contains liquidation preference and redemption provision and is redeemable at the option of the investor. The Company recorded the investment at fair value. Unrealized loss of US$143, net of nil income taxes, was recorded in other comprehensive loss for the year ended December 31, 2025.</w:t>
      </w:r>
    </w:p>
    <w:p>
      <w:pPr>
        <w:spacing w:after="0" w:line="211" w:lineRule="exact"/>
        <w:rPr>
          <w:rFonts w:ascii="Times New Roman" w:cs="Times New Roman" w:eastAsia="Times New Roman" w:hAnsi="Times New Roman"/>
          <w:sz w:val="18"/>
          <w:szCs w:val="18"/>
          <w:b w:val="1"/>
          <w:bCs w:val="1"/>
          <w:color w:val="auto"/>
        </w:rPr>
      </w:pPr>
    </w:p>
    <w:p>
      <w:pPr>
        <w:ind w:left="40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the reconciliation of the Level 3 fair value measurement of available-for-sale debt investments for the year indicated:</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96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488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42,979</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8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42,833</w:t>
            </w:r>
          </w:p>
        </w:tc>
      </w:tr>
      <w:tr>
        <w:trPr>
          <w:trHeight w:val="21"/>
        </w:trPr>
        <w:tc>
          <w:tcPr>
            <w:tcW w:w="48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400" w:right="280"/>
        <w:spacing w:after="0" w:line="250" w:lineRule="auto"/>
        <w:rPr>
          <w:sz w:val="20"/>
          <w:szCs w:val="20"/>
          <w:color w:val="auto"/>
        </w:rPr>
      </w:pPr>
      <w:r>
        <w:rPr>
          <w:rFonts w:ascii="Times New Roman" w:cs="Times New Roman" w:eastAsia="Times New Roman" w:hAnsi="Times New Roman"/>
          <w:sz w:val="18"/>
          <w:szCs w:val="18"/>
          <w:color w:val="auto"/>
        </w:rPr>
        <w:t>The fair value of available-for-sale debt investments is measured using income approach that involves several assumptions including risk-free interest rates and bond yields. The fair value of available-for-sale debt investments as of December 31, 2025 were estimated with the following key assumptions: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7"/>
        </w:trPr>
        <w:tc>
          <w:tcPr>
            <w:tcW w:w="476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r>
        <w:trPr>
          <w:trHeight w:val="223"/>
        </w:trPr>
        <w:tc>
          <w:tcPr>
            <w:tcW w:w="476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rates (i)</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- 3.55%</w:t>
            </w:r>
          </w:p>
        </w:tc>
      </w:tr>
      <w:tr>
        <w:trPr>
          <w:trHeight w:val="27"/>
        </w:trPr>
        <w:tc>
          <w:tcPr>
            <w:tcW w:w="47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Bond Yield (ii)</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7"/>
        </w:trPr>
        <w:tc>
          <w:tcPr>
            <w:tcW w:w="47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ind w:left="1040" w:right="160" w:hanging="320"/>
        <w:spacing w:after="0" w:line="281" w:lineRule="auto"/>
        <w:tabs>
          <w:tab w:leader="none" w:pos="103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rates were estimated based on the yield to maturity of U.S. treasury bonds and China Government Bond for a term consistent with the expected term of available-for-sale debt investments in effect at the valuation date.</w:t>
      </w:r>
    </w:p>
    <w:p>
      <w:pPr>
        <w:spacing w:after="0" w:line="1" w:lineRule="exact"/>
        <w:rPr>
          <w:rFonts w:ascii="Times New Roman" w:cs="Times New Roman" w:eastAsia="Times New Roman" w:hAnsi="Times New Roman"/>
          <w:sz w:val="14"/>
          <w:szCs w:val="14"/>
          <w:color w:val="auto"/>
        </w:rPr>
      </w:pPr>
    </w:p>
    <w:p>
      <w:pPr>
        <w:ind w:left="1040" w:hanging="320"/>
        <w:spacing w:after="0"/>
        <w:tabs>
          <w:tab w:leader="none" w:pos="10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bond yields were estimated based on the market yield of comparable bonds with similar credit rating.</w:t>
      </w:r>
    </w:p>
    <w:p>
      <w:pPr>
        <w:sectPr>
          <w:pgSz w:w="11900" w:h="16838" w:orient="portrait"/>
          <w:cols w:equalWidth="0" w:num="1">
            <w:col w:w="10980"/>
          </w:cols>
          <w:pgMar w:left="58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80645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type w:val="continuous"/>
        </w:sectPr>
      </w:pPr>
    </w:p>
    <w:bookmarkStart w:id="163" w:name="page164"/>
    <w:bookmarkEnd w:id="163"/>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37"/>
        </w:trPr>
        <w:tc>
          <w:tcPr>
            <w:tcW w:w="60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608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60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6080" w:type="dxa"/>
            <w:vAlign w:val="bottom"/>
          </w:tcPr>
          <w:p>
            <w:pPr>
              <w:spacing w:after="0"/>
              <w:rPr>
                <w:sz w:val="16"/>
                <w:szCs w:val="16"/>
                <w:color w:val="auto"/>
              </w:rPr>
            </w:pPr>
          </w:p>
        </w:tc>
        <w:tc>
          <w:tcPr>
            <w:tcW w:w="21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electronic equipment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50,915</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vehicles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6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r>
      <w:tr>
        <w:trPr>
          <w:trHeight w:val="27"/>
        </w:trPr>
        <w:tc>
          <w:tcPr>
            <w:tcW w:w="6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52,447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63,076</w:t>
            </w:r>
          </w:p>
        </w:tc>
      </w:tr>
      <w:tr>
        <w:trPr>
          <w:trHeight w:val="27"/>
        </w:trPr>
        <w:tc>
          <w:tcPr>
            <w:tcW w:w="6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impairment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7"/>
        </w:trPr>
        <w:tc>
          <w:tcPr>
            <w:tcW w:w="6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26,705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on property and equipment was allocated as follows:</w:t>
      </w:r>
    </w:p>
    <w:p>
      <w:pPr>
        <w:spacing w:after="0" w:line="27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41910</wp:posOffset>
            </wp:positionV>
            <wp:extent cx="28460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92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expenses</w:t>
            </w: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7,880</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7,666</w:t>
            </w:r>
          </w:p>
        </w:tc>
      </w:tr>
      <w:tr>
        <w:trPr>
          <w:trHeight w:val="20"/>
        </w:trPr>
        <w:tc>
          <w:tcPr>
            <w:tcW w:w="6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loss on obsolete and damaged equipment of property and equipment was allocated as follows:</w:t>
      </w:r>
    </w:p>
    <w:p>
      <w:pPr>
        <w:sectPr>
          <w:pgSz w:w="11900" w:h="16838" w:orient="portrait"/>
          <w:cols w:equalWidth="0" w:num="1">
            <w:col w:w="11060"/>
          </w:cols>
          <w:pgMar w:left="320" w:top="33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right="2080"/>
        <w:spacing w:after="0" w:line="353" w:lineRule="auto"/>
        <w:rPr>
          <w:sz w:val="20"/>
          <w:szCs w:val="20"/>
          <w:color w:val="auto"/>
        </w:rPr>
      </w:pPr>
      <w:r>
        <w:rPr>
          <w:rFonts w:ascii="Times New Roman" w:cs="Times New Roman" w:eastAsia="Times New Roman" w:hAnsi="Times New Roman"/>
          <w:sz w:val="17"/>
          <w:szCs w:val="17"/>
          <w:color w:val="auto"/>
        </w:rPr>
        <w:t>Selling, general and administrative expenses Research and development expenses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impairment loss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29832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174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80"/>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-556895</wp:posOffset>
            </wp:positionV>
            <wp:extent cx="680656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-213995</wp:posOffset>
            </wp:positionV>
            <wp:extent cx="6806565"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680656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700"/>
          </w:cols>
          <w:pgMar w:left="320" w:top="337" w:right="51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type w:val="continuous"/>
        </w:sectPr>
      </w:pPr>
    </w:p>
    <w:bookmarkStart w:id="164" w:name="page165"/>
    <w:bookmarkEnd w:id="164"/>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Intangible assets, net consisted of the following:</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licensing rights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(Refer to Note 3.(c))</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78,370</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impairment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42,204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line="237" w:lineRule="auto"/>
        <w:rPr>
          <w:sz w:val="20"/>
          <w:szCs w:val="20"/>
          <w:color w:val="auto"/>
        </w:rPr>
      </w:pPr>
      <w:r>
        <w:rPr>
          <w:rFonts w:ascii="Times New Roman" w:cs="Times New Roman" w:eastAsia="Times New Roman" w:hAnsi="Times New Roman"/>
          <w:sz w:val="18"/>
          <w:szCs w:val="18"/>
          <w:color w:val="auto"/>
        </w:rPr>
        <w:t>In November 2023, the Group entered into a licensing agreement with Hubei Xingji Meizu Group Co., Ltd., (“Xingji Meizu”), a related party. Pursuant to the licensing agreement, the Group obtained a non-exclusive license under certain software of Xingji Meizu to develop and sell this software worldwide for three years. The consideration is due in three equal annual installments of US$7,007. The Group recognized US$20,141 software license rights based on the present value of the consideration and amortized it over three years. In May 2025, the Group entered into a modification agreement with Xingji Meizu and both parties agreed to extend the license for additional 8 years from the modification date to November 2033 on an exclusive basis for no additional consideration. The Group accounted for the modification as an extension of the licensing period and the carrying amount of the intangible asset on the modification date is amortized over the remaining contractual period.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was allocated as follows:</w:t>
      </w:r>
    </w:p>
    <w:p>
      <w:pPr>
        <w:spacing w:after="0" w:line="27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41910</wp:posOffset>
            </wp:positionV>
            <wp:extent cx="28460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92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4,494</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12,690</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12,205</w:t>
            </w:r>
          </w:p>
        </w:tc>
      </w:tr>
      <w:tr>
        <w:trPr>
          <w:trHeight w:val="20"/>
        </w:trPr>
        <w:tc>
          <w:tcPr>
            <w:tcW w:w="6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amortization expenses relating to the existing intangible assets with finite lives for the next five years is as follows: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7"/>
        </w:trPr>
        <w:tc>
          <w:tcPr>
            <w:tcW w:w="7560" w:type="dxa"/>
            <w:vAlign w:val="bottom"/>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2940" w:type="dxa"/>
            <w:vAlign w:val="bottom"/>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6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250"/>
        </w:trPr>
        <w:tc>
          <w:tcPr>
            <w:tcW w:w="7560" w:type="dxa"/>
            <w:vAlign w:val="bottom"/>
            <w:tcBorders>
              <w:bottom w:val="single" w:sz="8" w:color="CCEEFF"/>
            </w:tcBorders>
            <w:shd w:val="clear" w:color="auto" w:fill="CCEEFF"/>
          </w:tcPr>
          <w:p>
            <w:pPr>
              <w:jc w:val="right"/>
              <w:ind w:right="7110"/>
              <w:spacing w:after="0"/>
              <w:rPr>
                <w:sz w:val="20"/>
                <w:szCs w:val="20"/>
                <w:color w:val="auto"/>
              </w:rPr>
            </w:pPr>
            <w:r>
              <w:rPr>
                <w:rFonts w:ascii="Times New Roman" w:cs="Times New Roman" w:eastAsia="Times New Roman" w:hAnsi="Times New Roman"/>
                <w:sz w:val="18"/>
                <w:szCs w:val="18"/>
                <w:color w:val="auto"/>
                <w:w w:val="94"/>
              </w:rPr>
              <w:t>2026</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r>
      <w:tr>
        <w:trPr>
          <w:trHeight w:val="243"/>
        </w:trPr>
        <w:tc>
          <w:tcPr>
            <w:tcW w:w="756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w w:val="94"/>
              </w:rPr>
              <w:t>2027</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r>
      <w:tr>
        <w:trPr>
          <w:trHeight w:val="27"/>
        </w:trPr>
        <w:tc>
          <w:tcPr>
            <w:tcW w:w="75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jc w:val="right"/>
              <w:ind w:right="7110"/>
              <w:spacing w:after="0"/>
              <w:rPr>
                <w:sz w:val="20"/>
                <w:szCs w:val="20"/>
                <w:color w:val="auto"/>
              </w:rPr>
            </w:pPr>
            <w:r>
              <w:rPr>
                <w:rFonts w:ascii="Times New Roman" w:cs="Times New Roman" w:eastAsia="Times New Roman" w:hAnsi="Times New Roman"/>
                <w:sz w:val="18"/>
                <w:szCs w:val="18"/>
                <w:color w:val="auto"/>
                <w:w w:val="94"/>
              </w:rPr>
              <w:t>2028</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r>
      <w:tr>
        <w:trPr>
          <w:trHeight w:val="243"/>
        </w:trPr>
        <w:tc>
          <w:tcPr>
            <w:tcW w:w="756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w w:val="94"/>
              </w:rPr>
              <w:t>2029</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7"/>
        </w:trPr>
        <w:tc>
          <w:tcPr>
            <w:tcW w:w="75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7560" w:type="dxa"/>
            <w:vAlign w:val="bottom"/>
            <w:shd w:val="clear" w:color="auto" w:fill="CCEEFF"/>
          </w:tcPr>
          <w:p>
            <w:pPr>
              <w:jc w:val="right"/>
              <w:ind w:right="7110"/>
              <w:spacing w:after="0"/>
              <w:rPr>
                <w:sz w:val="20"/>
                <w:szCs w:val="20"/>
                <w:color w:val="auto"/>
              </w:rPr>
            </w:pPr>
            <w:r>
              <w:rPr>
                <w:rFonts w:ascii="Times New Roman" w:cs="Times New Roman" w:eastAsia="Times New Roman" w:hAnsi="Times New Roman"/>
                <w:sz w:val="18"/>
                <w:szCs w:val="18"/>
                <w:color w:val="auto"/>
                <w:w w:val="94"/>
              </w:rPr>
              <w:t>2030</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7"/>
        </w:trPr>
        <w:tc>
          <w:tcPr>
            <w:tcW w:w="75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65" w:name="page166"/>
    <w:bookmarkEnd w:id="165"/>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loss was allocated as follows:</w:t>
      </w:r>
    </w:p>
    <w:p>
      <w:pPr>
        <w:spacing w:after="0" w:line="27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41910</wp:posOffset>
            </wp:positionV>
            <wp:extent cx="2854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320" w:type="dxa"/>
            <w:vAlign w:val="bottom"/>
            <w:gridSpan w:val="2"/>
          </w:tcPr>
          <w:p>
            <w:pPr>
              <w:ind w:left="59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3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5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8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impairment loss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hanging="8"/>
        <w:spacing w:after="0" w:line="226" w:lineRule="auto"/>
        <w:tabs>
          <w:tab w:leader="none" w:pos="423" w:val="left"/>
        </w:tabs>
        <w:numPr>
          <w:ilvl w:val="0"/>
          <w:numId w:val="9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2025 the Company recognized US$3,068 of impairment losses related to developed technology due to weaker-than-expected operations, as the carrying amount was not recoverable based on the undiscounted cash flows. The fair value was estimated using discounted cash flows under the income approach classified in Level 3 of the fair value hierarchy. Significant unobservable inputs used in the fair value measurement include revenue growth rates, technology migration rates and discount rate, which were determined with the assistance of an independent valuation specialist.</w:t>
      </w:r>
    </w:p>
    <w:p>
      <w:pPr>
        <w:sectPr>
          <w:pgSz w:w="11900" w:h="16838" w:orient="portrait"/>
          <w:cols w:equalWidth="0" w:num="1">
            <w:col w:w="11200"/>
          </w:cols>
          <w:pgMar w:left="320" w:top="337" w:right="379" w:bottom="1440" w:gutter="0" w:footer="0" w:header="0"/>
        </w:sectPr>
      </w:pPr>
    </w:p>
    <w:p>
      <w:pPr>
        <w:spacing w:after="0" w:line="1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9"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18"/>
          <w:szCs w:val="18"/>
          <w:color w:val="auto"/>
        </w:rPr>
        <w:t>Borrowings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626110</wp:posOffset>
            </wp:positionV>
            <wp:extent cx="666940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Short-term borrowings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Unsecured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66940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Long-term borrowings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Unsecured bank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41910</wp:posOffset>
            </wp:positionV>
            <wp:extent cx="18770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6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41910</wp:posOffset>
            </wp:positionV>
            <wp:extent cx="18770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6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3"/>
          <w:szCs w:val="13"/>
          <w:b w:val="1"/>
          <w:bCs w:val="1"/>
          <w:color w:val="auto"/>
        </w:rPr>
        <w:t>US$</w:t>
      </w:r>
    </w:p>
    <w:p>
      <w:pPr>
        <w:spacing w:after="0" w:line="341" w:lineRule="exact"/>
        <w:rPr>
          <w:sz w:val="20"/>
          <w:szCs w:val="20"/>
          <w:color w:val="auto"/>
        </w:rPr>
      </w:pPr>
    </w:p>
    <w:p>
      <w:pPr>
        <w:ind w:left="2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185,243</w:t>
      </w:r>
      <w:r>
        <w:rPr>
          <w:sz w:val="20"/>
          <w:szCs w:val="20"/>
          <w:color w:val="auto"/>
        </w:rPr>
        <w:tab/>
      </w:r>
      <w:r>
        <w:rPr>
          <w:rFonts w:ascii="Times New Roman" w:cs="Times New Roman" w:eastAsia="Times New Roman" w:hAnsi="Times New Roman"/>
          <w:sz w:val="18"/>
          <w:szCs w:val="18"/>
          <w:b w:val="1"/>
          <w:bCs w:val="1"/>
          <w:color w:val="auto"/>
        </w:rPr>
        <w:t>310,659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36830</wp:posOffset>
            </wp:positionV>
            <wp:extent cx="18770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5,587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36830</wp:posOffset>
            </wp:positionV>
            <wp:extent cx="187706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1877060" cy="342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7740" w:space="720"/>
            <w:col w:w="2740"/>
          </w:cols>
          <w:pgMar w:left="320" w:top="337" w:right="379" w:bottom="1440" w:gutter="0" w:footer="0" w:header="0"/>
          <w:type w:val="continuous"/>
        </w:sectPr>
      </w:pPr>
    </w:p>
    <w:p>
      <w:pPr>
        <w:spacing w:after="0" w:line="174" w:lineRule="exact"/>
        <w:rPr>
          <w:sz w:val="20"/>
          <w:szCs w:val="20"/>
          <w:color w:val="auto"/>
        </w:rPr>
      </w:pPr>
    </w:p>
    <w:p>
      <w:pPr>
        <w:ind w:left="340" w:right="460"/>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rates of short-term borrowings outstanding as of December 31, 2024 and 2025 were 3.91% and 3.70% per annum, respectively. The weighted average interest rates of long-term borrowings outstanding as of December 31, 2025 were 2.81% per annum. The outstanding long-term borrowing matures in 2027.</w:t>
      </w:r>
    </w:p>
    <w:p>
      <w:pPr>
        <w:spacing w:after="0" w:line="216" w:lineRule="exact"/>
        <w:rPr>
          <w:sz w:val="20"/>
          <w:szCs w:val="20"/>
          <w:color w:val="auto"/>
        </w:rPr>
      </w:pPr>
    </w:p>
    <w:p>
      <w:pPr>
        <w:ind w:left="340" w:right="3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 had a total line of bank credit in the amount of US$272,416 and US$329,498, of which the unused portion was US$87,173 and US$13,252, respectively.</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Contract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27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41910</wp:posOffset>
            </wp:positionV>
            <wp:extent cx="18770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00" w:type="dxa"/>
            <w:vAlign w:val="bottom"/>
            <w:gridSpan w:val="2"/>
          </w:tcPr>
          <w:p>
            <w:pPr>
              <w:ind w:left="81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 third parties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 – related 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20,493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7"/>
        </w:trPr>
        <w:tc>
          <w:tcPr>
            <w:tcW w:w="7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 third parties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 – related 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 current and non-current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26,456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Contract liabilities primarily relate to upfront non-refundable payments from the Group’s customers for the purchase of connectivity services and automotive computing platform products in advance of transfer of control of the products</w:t>
      </w:r>
    </w:p>
    <w:p>
      <w:pPr>
        <w:sectPr>
          <w:pgSz w:w="11900" w:h="16838" w:orient="portrait"/>
          <w:cols w:equalWidth="0" w:num="1">
            <w:col w:w="11200"/>
          </w:cols>
          <w:pgMar w:left="320" w:top="337" w:right="37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66" w:name="page167"/>
    <w:bookmarkEnd w:id="166"/>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or services under the contract. Amounts that are expected to be recognized as revenues within one-year are included as current contract liabilities while the remaining balance recognized as non-current contract liabilities.</w:t>
      </w:r>
    </w:p>
    <w:p>
      <w:pPr>
        <w:spacing w:after="0" w:line="162"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that was included in the contract liabilities balance at the beginning of the year was US$25,160 and US$20,973 for the years ended December 31, 2024 and 2025, respectively.</w:t>
      </w:r>
    </w:p>
    <w:p>
      <w:pPr>
        <w:spacing w:after="0" w:line="162"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aggregated amounts of the transaction price allocated to the remaining performance obligation under the Group’s existing contracts are US$26,456 and US$8,880,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revenue expected to be recognized in the future related to the unsatisfied performance obligations is as follows: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Group has elected the practical expedient not to disclose the information about remaining performance obligations which are part of contracts that have an original duration of one year or less.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ECARX Warrants in connection with the Merger</w:t>
      </w:r>
    </w:p>
    <w:p>
      <w:pPr>
        <w:spacing w:after="0" w:line="229"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7"/>
          <w:szCs w:val="17"/>
          <w:color w:val="auto"/>
        </w:rPr>
        <w:t>In December 2022, COVA Public Shares and COVA Public Warrants ceased trading upon consummation of the Merger and were delisted from Nasdaq and deregistered under the Exchange Act. Concurrently, the Company issued 23,871,971 ECARX warrants, including 14,999,971 public warrants that the Company applied for listing on Nasdaq with the symbol “ECXWW” (“ECARX Public Warrants”) and 8,872,000 private warrants (“ECARX Private Warrants”, collectively referred to as “ECARX Warrants”) to the then holders of COVA Public Warrants and COVA Private Warrants.</w:t>
      </w:r>
    </w:p>
    <w:p>
      <w:pPr>
        <w:spacing w:after="0" w:line="164"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ECARX Public Warrants are exercisable commencing thirty (30) days after the completion of the Merger, provided that the Company has an effective registration statement under the Securities Act covering the shares of Class A Ordinary Shares issuable upon exercise of ECARX Public Warrants and a current prospectus relating to them is available (or the Company permits holders to exercise ECARX Public Warrants held by them on a cashless basis and such cashless exercise is exempt from registration under the Securities Act). The warrants have an exercise price of US$11.50 per whole share, subject to adjustments, and will expire five (5) years after the completion of the Merger or earlier upon redemption or liquidation.</w:t>
      </w:r>
    </w:p>
    <w:p>
      <w:pPr>
        <w:spacing w:after="0" w:line="183"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ECARX Private Warrants are identical to the ECARX Public Warrants, except that ECARX Private Warrants and the shares of Class A common stock issuable upon exercise of the ECARX Private Warrants will not be transferable, assignable or saleable. Additionally, ECARX Private Warrants are non-redeemable so long as they are held by permitted transferees. If ECARX Private Warrants are held by someone other than permitted transferees as stipulated in the warrant agreement, the ECARX Private Warrants will be redeemable by the Company and exercisable by such holders on the same basis as ECARX Public Warrants.</w:t>
      </w:r>
    </w:p>
    <w:p>
      <w:pPr>
        <w:spacing w:after="0" w:line="181" w:lineRule="exact"/>
        <w:rPr>
          <w:sz w:val="20"/>
          <w:szCs w:val="20"/>
          <w:color w:val="auto"/>
        </w:rPr>
      </w:pPr>
    </w:p>
    <w:p>
      <w:pPr>
        <w:jc w:val="both"/>
        <w:ind w:left="340" w:right="100"/>
        <w:spacing w:after="0" w:line="267" w:lineRule="auto"/>
        <w:rPr>
          <w:sz w:val="20"/>
          <w:szCs w:val="20"/>
          <w:color w:val="auto"/>
        </w:rPr>
      </w:pPr>
      <w:r>
        <w:rPr>
          <w:rFonts w:ascii="Times New Roman" w:cs="Times New Roman" w:eastAsia="Times New Roman" w:hAnsi="Times New Roman"/>
          <w:sz w:val="18"/>
          <w:szCs w:val="18"/>
          <w:color w:val="auto"/>
        </w:rPr>
        <w:t xml:space="preserve">ECARX Warrants are recorded as liability-classified financial instruments in accordance with ASC Topic 815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the Company may be required to net settle the liability outside of the Company’s control. As such, ECARX Warrants are recognized at fair value at the issuance date and measured subsequently at fair value with changes in fair value recognized in earnings or losses.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7" w:name="page168"/>
    <w:bookmarkEnd w:id="167"/>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Given ECARX Public Warrants are publicly traded on Nasdaq, the liability is measured at fair value using observable inputs and categorized in Level 1 of the fair value hierarchy, while ECARX Private Warrant liability is measured at fair value using unobservable inputs and categorized in Level 3 of the fair value hierarchy. The Binomial Option Pricing Model with the following key assumptions is used for estimating the fair value of ECARX Private Warrants.</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220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 (%)</w:t>
            </w:r>
          </w:p>
        </w:tc>
        <w:tc>
          <w:tcPr>
            <w:tcW w:w="220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4.27 %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50.20 %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71.00 %</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0.0 %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3.0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the underlying ordinary shares</w:t>
            </w:r>
          </w:p>
        </w:tc>
        <w:tc>
          <w:tcPr>
            <w:tcW w:w="22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US$2.11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US$1.72</w:t>
            </w:r>
          </w:p>
        </w:tc>
        <w:tc>
          <w:tcPr>
            <w:tcW w:w="0" w:type="dxa"/>
            <w:vAlign w:val="bottom"/>
          </w:tcPr>
          <w:p>
            <w:pPr>
              <w:spacing w:after="0"/>
              <w:rPr>
                <w:sz w:val="1"/>
                <w:szCs w:val="1"/>
                <w:color w:val="auto"/>
              </w:rPr>
            </w:pPr>
          </w:p>
        </w:tc>
      </w:tr>
      <w:tr>
        <w:trPr>
          <w:trHeight w:val="27"/>
        </w:trPr>
        <w:tc>
          <w:tcPr>
            <w:tcW w:w="73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440"/>
        <w:spacing w:after="0" w:line="281" w:lineRule="auto"/>
        <w:rPr>
          <w:sz w:val="20"/>
          <w:szCs w:val="20"/>
          <w:color w:val="auto"/>
        </w:rPr>
      </w:pPr>
      <w:r>
        <w:rPr>
          <w:rFonts w:ascii="Times New Roman" w:cs="Times New Roman" w:eastAsia="Times New Roman" w:hAnsi="Times New Roman"/>
          <w:sz w:val="17"/>
          <w:szCs w:val="17"/>
          <w:color w:val="auto"/>
        </w:rPr>
        <w:t>The risk-free rate of return was based on the yield of US Treasury Notes for the expected remaining life of the warrant liabilities. The Company estimates the volatility of its common stock using a binomial lattice model based on the price of public warrant as of the valuation date. Expected dividend yield is zero as the Company does not anticipate any dividend payments in the foreseeable future. Expected term to exercise the warrant liabilities is up to December 2027. The fair value of the Company’s ordinary shares was obtained from the listed trading price of the Company.</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movement of ECARX Warrants for the years ended December 31, 2024 and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00" w:type="dxa"/>
            <w:vAlign w:val="bottom"/>
            <w:gridSpan w:val="3"/>
          </w:tcPr>
          <w:p>
            <w:pPr>
              <w:jc w:val="right"/>
              <w:ind w:right="1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820" w:type="dxa"/>
            <w:vAlign w:val="bottom"/>
            <w:gridSpan w:val="4"/>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3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20" w:type="dxa"/>
            <w:vAlign w:val="bottom"/>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ECARX Public Warrants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ECARX Private Warrants</w:t>
            </w:r>
          </w:p>
        </w:tc>
        <w:tc>
          <w:tcPr>
            <w:tcW w:w="1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ECARX Public Warrants</w:t>
            </w:r>
          </w:p>
        </w:tc>
        <w:tc>
          <w:tcPr>
            <w:tcW w:w="254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ECARX Private Warrants</w:t>
            </w:r>
          </w:p>
        </w:tc>
      </w:tr>
      <w:tr>
        <w:trPr>
          <w:trHeight w:val="37"/>
        </w:trPr>
        <w:tc>
          <w:tcPr>
            <w:tcW w:w="3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2"/>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3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20" w:type="dxa"/>
            <w:vAlign w:val="bottom"/>
          </w:tcPr>
          <w:p>
            <w:pPr>
              <w:spacing w:after="0"/>
              <w:rPr>
                <w:sz w:val="21"/>
                <w:szCs w:val="21"/>
                <w:color w:val="auto"/>
              </w:rPr>
            </w:pPr>
          </w:p>
        </w:tc>
      </w:tr>
      <w:tr>
        <w:trPr>
          <w:trHeight w:val="225"/>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(gain) due to change in fair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0"/>
                <w:szCs w:val="20"/>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4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6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676</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8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Accrued expenses and other liabilities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7"/>
        </w:trPr>
        <w:tc>
          <w:tcPr>
            <w:tcW w:w="3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340" w:type="dxa"/>
            <w:vAlign w:val="bottom"/>
          </w:tcPr>
          <w:p>
            <w:pPr>
              <w:spacing w:after="0"/>
              <w:rPr>
                <w:sz w:val="3"/>
                <w:szCs w:val="3"/>
                <w:color w:val="auto"/>
              </w:rPr>
            </w:pPr>
          </w:p>
        </w:tc>
        <w:tc>
          <w:tcPr>
            <w:tcW w:w="368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14,547</w:t>
            </w:r>
          </w:p>
        </w:tc>
      </w:tr>
      <w:tr>
        <w:trPr>
          <w:trHeight w:val="243"/>
        </w:trPr>
        <w:tc>
          <w:tcPr>
            <w:tcW w:w="34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22,219</w:t>
            </w:r>
          </w:p>
        </w:tc>
      </w:tr>
      <w:tr>
        <w:trPr>
          <w:trHeight w:val="27"/>
        </w:trPr>
        <w:tc>
          <w:tcPr>
            <w:tcW w:w="3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warranties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8,233</w:t>
            </w:r>
          </w:p>
        </w:tc>
      </w:tr>
      <w:tr>
        <w:trPr>
          <w:trHeight w:val="243"/>
        </w:trPr>
        <w:tc>
          <w:tcPr>
            <w:tcW w:w="34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costs of the Merger</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6,900</w:t>
            </w:r>
          </w:p>
        </w:tc>
      </w:tr>
      <w:tr>
        <w:trPr>
          <w:trHeight w:val="27"/>
        </w:trPr>
        <w:tc>
          <w:tcPr>
            <w:tcW w:w="3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accrued charges*</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36,976</w:t>
            </w:r>
          </w:p>
        </w:tc>
      </w:tr>
      <w:tr>
        <w:trPr>
          <w:trHeight w:val="264"/>
        </w:trPr>
        <w:tc>
          <w:tcPr>
            <w:tcW w:w="34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85,477</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88,875</w:t>
            </w:r>
          </w:p>
        </w:tc>
      </w:tr>
      <w:tr>
        <w:trPr>
          <w:trHeight w:val="20"/>
        </w:trPr>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9"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payables and accrued charges primarily include accrual for research and development expenses.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8" w:name="page169"/>
    <w:bookmarkEnd w:id="168"/>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changes in the product warranties:</w:t>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3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tcPr>
          <w:p>
            <w:pPr>
              <w:ind w:left="81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52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18,650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21,861</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(5,967)</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21,861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26,037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warranty included in "Accrued expenses and other current liabilities"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warranty included in "Provisions"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14,993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17,804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Convertible notes payable</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Notes due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Notes due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Notes due</w:t>
            </w:r>
          </w:p>
        </w:tc>
        <w:tc>
          <w:tcPr>
            <w:tcW w:w="1180" w:type="dxa"/>
            <w:vAlign w:val="bottom"/>
          </w:tcPr>
          <w:p>
            <w:pPr>
              <w:spacing w:after="0"/>
              <w:rPr>
                <w:sz w:val="14"/>
                <w:szCs w:val="14"/>
                <w:color w:val="auto"/>
              </w:rPr>
            </w:pPr>
          </w:p>
        </w:tc>
      </w:tr>
      <w:tr>
        <w:trPr>
          <w:trHeight w:val="204"/>
        </w:trPr>
        <w:tc>
          <w:tcPr>
            <w:tcW w:w="30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00" w:type="dxa"/>
            <w:vAlign w:val="bottom"/>
          </w:tcPr>
          <w:p>
            <w:pPr>
              <w:spacing w:after="0"/>
              <w:rPr>
                <w:sz w:val="17"/>
                <w:szCs w:val="17"/>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0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300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30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63,775</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63,775</w:t>
            </w: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interest expense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64,184</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64,184</w:t>
            </w: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interest expense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64,473</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64,473</w:t>
            </w: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102,880</w:t>
            </w: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interest expense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to ordinary shares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convertible 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6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38,819</w:t>
            </w:r>
          </w:p>
        </w:tc>
        <w:tc>
          <w:tcPr>
            <w:tcW w:w="8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60,283</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99,102</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Current portion</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Non-current portion</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r>
    </w:tbl>
    <w:p>
      <w:pPr>
        <w:spacing w:after="0" w:line="288" w:lineRule="exact"/>
        <w:rPr>
          <w:sz w:val="20"/>
          <w:szCs w:val="20"/>
          <w:color w:val="auto"/>
        </w:rPr>
      </w:pPr>
    </w:p>
    <w:p>
      <w:pPr>
        <w:ind w:left="580" w:hanging="248"/>
        <w:spacing w:after="0"/>
        <w:tabs>
          <w:tab w:leader="none" w:pos="5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Convertible Notes due 2025</w:t>
      </w:r>
    </w:p>
    <w:p>
      <w:pPr>
        <w:spacing w:after="0" w:line="215" w:lineRule="exact"/>
        <w:rPr>
          <w:rFonts w:ascii="Times New Roman" w:cs="Times New Roman" w:eastAsia="Times New Roman" w:hAnsi="Times New Roman"/>
          <w:sz w:val="18"/>
          <w:szCs w:val="18"/>
          <w:color w:val="auto"/>
        </w:rPr>
      </w:pPr>
    </w:p>
    <w:p>
      <w:pPr>
        <w:ind w:left="580" w:right="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2022, the Company entered into a convertible note purchase agreement (the “Investor Note Purchase Agreement”) with certain institutional investors, pursuant to which the Company agreed to issue and sell US$65,000 aggregate principal amount of unsecured convertible notes (the “Investor Notes”, each an “Investor Note”) due to mature on November 8, 2025 (the “Investor Note Maturity Date”). The Investor Notes bear interest at a rate of 5% per annum. The holder of Investor Notes has the right to earn 9% internal rate of return if the Notes are not converted or redeemed before the Investor Note Maturity Date.</w:t>
      </w:r>
    </w:p>
    <w:p>
      <w:pPr>
        <w:spacing w:after="0" w:line="198"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an Investor Note now has the right from time to time to convert all or any portion of the Investor Notes (plus any accrued but unpaid interest thereon) into fully paid and non-assessable Class A ordinary shares of the Company to such number which is equal to the quotient of (x) the outstanding principal and accrued but unpaid interest of such Note divided by (y) conversion price.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right="180"/>
        <w:spacing w:after="0" w:line="266" w:lineRule="auto"/>
        <w:rPr>
          <w:sz w:val="20"/>
          <w:szCs w:val="20"/>
          <w:color w:val="auto"/>
        </w:rPr>
      </w:pPr>
      <w:r>
        <w:rPr>
          <w:rFonts w:ascii="Times New Roman" w:cs="Times New Roman" w:eastAsia="Times New Roman" w:hAnsi="Times New Roman"/>
          <w:sz w:val="18"/>
          <w:szCs w:val="18"/>
          <w:color w:val="auto"/>
        </w:rPr>
        <w:t>All or any portion of the Investor Notes is convertible into fully paid and non-assessable ECARX Class A Ordinary Shares (the “Investor Note Conversion Shares”) at a conversion price equal to US$11.50 per share, subject to customary anti-dilution adjustments and certain limitations on the conversion right as described in the Investor Note.</w:t>
      </w:r>
    </w:p>
    <w:p>
      <w:pPr>
        <w:spacing w:after="0" w:line="176" w:lineRule="exact"/>
        <w:rPr>
          <w:sz w:val="20"/>
          <w:szCs w:val="20"/>
          <w:color w:val="auto"/>
        </w:rPr>
      </w:pPr>
    </w:p>
    <w:p>
      <w:pPr>
        <w:ind w:left="320" w:right="40"/>
        <w:spacing w:after="0" w:line="282" w:lineRule="auto"/>
        <w:rPr>
          <w:sz w:val="20"/>
          <w:szCs w:val="20"/>
          <w:color w:val="auto"/>
        </w:rPr>
      </w:pPr>
      <w:r>
        <w:rPr>
          <w:rFonts w:ascii="Times New Roman" w:cs="Times New Roman" w:eastAsia="Times New Roman" w:hAnsi="Times New Roman"/>
          <w:sz w:val="18"/>
          <w:szCs w:val="18"/>
          <w:color w:val="auto"/>
        </w:rPr>
        <w:t>The Company incurred issuance costs of US$1,225 which is presented on the balance sheet as a direct deduction from the Investor Notes. Investor Notes are classified as a long-term debt initially on balance sheet and measured at amortized cost.</w:t>
      </w:r>
    </w:p>
    <w:p>
      <w:pPr>
        <w:spacing w:after="0" w:line="175"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During 2024, the Group determined that it is probable that the Investor Notes will not be converted prior to the Investor Note Maturity Date of November 8, 2025. Accordingly, an additional interest of US$662 was accrued to account for the noteholders’ right to 9% internal rate of return on the principal amount of the Investor Notes in 2024. The Company repaid Investor Note on its maturity in 2025.</w:t>
      </w:r>
    </w:p>
    <w:p>
      <w:pPr>
        <w:spacing w:after="0" w:line="204"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As of December 31, 2024, the fair value of Convertible Notes due 2025 was valued at US$66,000 and was classified within Level 3. The fair value of the Convertible Notes due 2025 was estimated by management with the assistance of an independent valuation firm, using the binomial model with the key assumptions including risk-free rate of return, volatility, and bond yield.</w:t>
      </w:r>
    </w:p>
    <w:p>
      <w:pPr>
        <w:spacing w:after="0" w:line="173" w:lineRule="exact"/>
        <w:rPr>
          <w:sz w:val="20"/>
          <w:szCs w:val="20"/>
          <w:color w:val="auto"/>
        </w:rPr>
      </w:pPr>
    </w:p>
    <w:p>
      <w:pPr>
        <w:ind w:left="320" w:hanging="248"/>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Convertible Notes due 2026</w:t>
      </w:r>
    </w:p>
    <w:p>
      <w:pPr>
        <w:spacing w:after="0" w:line="229" w:lineRule="exact"/>
        <w:rPr>
          <w:rFonts w:ascii="Times New Roman" w:cs="Times New Roman" w:eastAsia="Times New Roman" w:hAnsi="Times New Roman"/>
          <w:sz w:val="18"/>
          <w:szCs w:val="18"/>
          <w:color w:val="auto"/>
        </w:rPr>
      </w:pPr>
    </w:p>
    <w:p>
      <w:pPr>
        <w:ind w:left="3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2025, the Company entered into a Securities Purchase Agreement with an investor, ATW Mobility SPV LLC, to issue a new series of senior convertible notes in the aggregate amount of US$150,000. Initially, the investor purchased notes with aggregate principal amount of US$50,000 (the “Initial Note”) repayable in installments on several instalment dates (“Installment Date” with total installments payable amounting to 107% of the principal amount. The Initial Note will mature on October 30, 2026.</w:t>
      </w:r>
    </w:p>
    <w:p>
      <w:pPr>
        <w:spacing w:after="0" w:line="207" w:lineRule="exact"/>
        <w:rPr>
          <w:rFonts w:ascii="Times New Roman" w:cs="Times New Roman" w:eastAsia="Times New Roman" w:hAnsi="Times New Roman"/>
          <w:sz w:val="18"/>
          <w:szCs w:val="18"/>
          <w:color w:val="auto"/>
        </w:rPr>
      </w:pPr>
    </w:p>
    <w:p>
      <w:pPr>
        <w:ind w:left="320" w:right="4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 was issued at an initial conversion price of US$2.59 per share subject to customary anti-dilution adjustments. Unless the Initial Note is converted into the Company’s ordinary shares, is redeemable at 107% of the principal amount including an early redemption option with the issuer. The Initial Note can also be redeemed early at the option of the holder in an event of default at the redemption premium of 25% or change of control at the redemption premium of 20%. In the event of bankruptcy of the issuer, the Initial Note becomes mandatorily redeemable at the redemption premium of 25% (collectively, “Mandatory or Early redemption features”). The Initial Note does not bear any coupon interest.</w:t>
      </w:r>
    </w:p>
    <w:p>
      <w:pPr>
        <w:spacing w:after="0" w:line="211" w:lineRule="exact"/>
        <w:rPr>
          <w:rFonts w:ascii="Times New Roman" w:cs="Times New Roman" w:eastAsia="Times New Roman" w:hAnsi="Times New Roman"/>
          <w:sz w:val="18"/>
          <w:szCs w:val="18"/>
          <w:color w:val="auto"/>
        </w:rPr>
      </w:pPr>
    </w:p>
    <w:p>
      <w:pPr>
        <w:ind w:left="3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 is convertible anytime at the option of the holder and, at any instalment date, at the option of the issuer. The Initial Note is also mandatorily convertible if the daily volume weighted average price (VWAP) of ordinary shares of the Company exceeds US$3.88 per share for 15 consecutive trading days and the aggregate daily dollar volume during such period is more than US$3,000.</w:t>
      </w:r>
    </w:p>
    <w:p>
      <w:pPr>
        <w:spacing w:after="0" w:line="203" w:lineRule="exact"/>
        <w:rPr>
          <w:rFonts w:ascii="Times New Roman" w:cs="Times New Roman" w:eastAsia="Times New Roman" w:hAnsi="Times New Roman"/>
          <w:sz w:val="18"/>
          <w:szCs w:val="18"/>
          <w:color w:val="auto"/>
        </w:rPr>
      </w:pPr>
    </w:p>
    <w:p>
      <w:pPr>
        <w:ind w:left="32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Mandatory or early redemption features were bifurcated as a separate single compound derivative liability and measured at fair value as it is not clearly and closely related to the debt host contract. After the bifurcation, the Initial Note was accounted for using amortized cost method. The fair value of the bifurcated feature was initially measured at US$1,085 and subsequently remeasured to US$871 as at December 31, 2025, and was recorded as derivative liability included in accrued expenses and other current liabilities in the consolidated balance sheet. The gain on changes in fair value of derivative liability of US$214 was recognized in the changes in the fair value of derivative financial liabilities and assets included in other non-operating (expenses) income, net in the consolidated statement of comprehensive loss for the year ended December 31, 2025.</w:t>
      </w:r>
    </w:p>
    <w:p>
      <w:pPr>
        <w:spacing w:after="0" w:line="203" w:lineRule="exact"/>
        <w:rPr>
          <w:rFonts w:ascii="Times New Roman" w:cs="Times New Roman" w:eastAsia="Times New Roman" w:hAnsi="Times New Roman"/>
          <w:sz w:val="18"/>
          <w:szCs w:val="18"/>
          <w:color w:val="auto"/>
        </w:rPr>
      </w:pPr>
    </w:p>
    <w:p>
      <w:pPr>
        <w:ind w:left="32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 was initially recorded net of issuance costs of US$6,035 and the fair value of embedded derivative bifurcated at inception, and subsequently measured at amortized cost.</w:t>
      </w:r>
    </w:p>
    <w:p>
      <w:pPr>
        <w:spacing w:after="0" w:line="189" w:lineRule="exact"/>
        <w:rPr>
          <w:rFonts w:ascii="Times New Roman" w:cs="Times New Roman" w:eastAsia="Times New Roman" w:hAnsi="Times New Roman"/>
          <w:sz w:val="18"/>
          <w:szCs w:val="18"/>
          <w:color w:val="auto"/>
        </w:rPr>
      </w:pPr>
    </w:p>
    <w:p>
      <w:pPr>
        <w:ind w:left="32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Initial Note payable was estimated by management with the assistance of an independent valuation firm, using the binomial model with the key assumptions including risk-free rate of returns, volatility and bond yields. As of December 31, 2025, the fair value of the Convertible Notes due 2026 was measured at US$41,944 and was classified within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80" w:top="337" w:right="4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63" w:lineRule="exact"/>
        <w:rPr>
          <w:sz w:val="20"/>
          <w:szCs w:val="20"/>
          <w:color w:val="auto"/>
        </w:rPr>
      </w:pPr>
    </w:p>
    <w:p>
      <w:pPr>
        <w:ind w:left="320" w:right="400"/>
        <w:spacing w:after="0" w:line="266" w:lineRule="auto"/>
        <w:rPr>
          <w:sz w:val="20"/>
          <w:szCs w:val="20"/>
          <w:color w:val="auto"/>
        </w:rPr>
      </w:pPr>
      <w:r>
        <w:rPr>
          <w:rFonts w:ascii="Times New Roman" w:cs="Times New Roman" w:eastAsia="Times New Roman" w:hAnsi="Times New Roman"/>
          <w:sz w:val="18"/>
          <w:szCs w:val="18"/>
          <w:color w:val="auto"/>
        </w:rPr>
        <w:t>The fair value of derivative liability is measured using income approach with the key assumptions including bond yields and the probability of triggering events. The fair value of derivative liability is estimated with the following key assumptions: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7"/>
        </w:trPr>
        <w:tc>
          <w:tcPr>
            <w:tcW w:w="40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1980" w:type="dxa"/>
            <w:vAlign w:val="bottom"/>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00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Bond yields (i)</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 - 16.28%</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triggering events (ii)</w:t>
            </w:r>
          </w:p>
        </w:tc>
        <w:tc>
          <w:tcPr>
            <w:tcW w:w="198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1.61%</w:t>
            </w:r>
          </w:p>
        </w:tc>
      </w:tr>
      <w:tr>
        <w:trPr>
          <w:trHeight w:val="3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980" w:type="dxa"/>
            <w:vAlign w:val="bottom"/>
          </w:tcPr>
          <w:p>
            <w:pPr>
              <w:spacing w:after="0"/>
              <w:rPr>
                <w:sz w:val="24"/>
                <w:szCs w:val="24"/>
                <w:color w:val="auto"/>
              </w:rPr>
            </w:pPr>
          </w:p>
        </w:tc>
      </w:tr>
    </w:tbl>
    <w:p>
      <w:pPr>
        <w:spacing w:after="0" w:line="31" w:lineRule="exact"/>
        <w:rPr>
          <w:sz w:val="20"/>
          <w:szCs w:val="20"/>
          <w:color w:val="auto"/>
        </w:rPr>
      </w:pPr>
    </w:p>
    <w:p>
      <w:pPr>
        <w:ind w:left="960" w:hanging="321"/>
        <w:spacing w:after="0"/>
        <w:tabs>
          <w:tab w:leader="none" w:pos="96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bond yields were estimated based on the market yield of comparable bonds with similar credit rating.</w:t>
      </w:r>
    </w:p>
    <w:p>
      <w:pPr>
        <w:spacing w:after="0" w:line="41" w:lineRule="exact"/>
        <w:rPr>
          <w:rFonts w:ascii="Times New Roman" w:cs="Times New Roman" w:eastAsia="Times New Roman" w:hAnsi="Times New Roman"/>
          <w:sz w:val="14"/>
          <w:szCs w:val="14"/>
          <w:color w:val="auto"/>
        </w:rPr>
      </w:pPr>
    </w:p>
    <w:p>
      <w:pPr>
        <w:ind w:left="960" w:hanging="321"/>
        <w:spacing w:after="0"/>
        <w:tabs>
          <w:tab w:leader="none" w:pos="96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of triggering events was estimated based on the average cumulative issuer-weighted global default rates by similar industry group.</w:t>
      </w:r>
    </w:p>
    <w:p>
      <w:pPr>
        <w:spacing w:after="0" w:line="230" w:lineRule="exact"/>
        <w:rPr>
          <w:rFonts w:ascii="Times New Roman" w:cs="Times New Roman" w:eastAsia="Times New Roman" w:hAnsi="Times New Roman"/>
          <w:sz w:val="14"/>
          <w:szCs w:val="14"/>
          <w:color w:val="auto"/>
        </w:rPr>
      </w:pPr>
    </w:p>
    <w:p>
      <w:pPr>
        <w:ind w:left="320" w:hanging="248"/>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Convertible Notes due 2028</w:t>
      </w:r>
    </w:p>
    <w:p>
      <w:pPr>
        <w:spacing w:after="0" w:line="242" w:lineRule="exact"/>
        <w:rPr>
          <w:rFonts w:ascii="Times New Roman" w:cs="Times New Roman" w:eastAsia="Times New Roman" w:hAnsi="Times New Roman"/>
          <w:sz w:val="18"/>
          <w:szCs w:val="18"/>
          <w:color w:val="auto"/>
        </w:rPr>
      </w:pPr>
    </w:p>
    <w:p>
      <w:pPr>
        <w:ind w:left="320" w:right="1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entered into convertible note purchase agreements with certain institutional investors to issue convertible notes (“Convertible Senior Notes”) with an aggregate principal amount of US$60,000 and maturity date of November 14, 2028. The Convertible Senior Notes bear interest at a rate of 5% per annum. Each holder of the Convertible Senior Notes has the right to earn 9% internal rate of return if the Convertible Senior Notes are not converted or redeemed before the maturity.</w:t>
      </w:r>
    </w:p>
    <w:p>
      <w:pPr>
        <w:spacing w:after="0" w:line="207" w:lineRule="exact"/>
        <w:rPr>
          <w:rFonts w:ascii="Times New Roman" w:cs="Times New Roman" w:eastAsia="Times New Roman" w:hAnsi="Times New Roman"/>
          <w:sz w:val="18"/>
          <w:szCs w:val="18"/>
          <w:color w:val="auto"/>
        </w:rPr>
      </w:pPr>
    </w:p>
    <w:p>
      <w:pPr>
        <w:ind w:left="3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Convertible Senior Notes has the right from time to time to convert all or any portion of Convertible Senior Notes (plus any accrued but unpaid interest thereon) into fully paid and non-assessable ECARX Class A Ordinary Shares (the “Senior Note Conversion Shares”) at a conversion price equal to US$2.62 per share, subject to customary anti-dilution adjustments.</w:t>
      </w:r>
    </w:p>
    <w:p>
      <w:pPr>
        <w:spacing w:after="0" w:line="203" w:lineRule="exact"/>
        <w:rPr>
          <w:rFonts w:ascii="Times New Roman" w:cs="Times New Roman" w:eastAsia="Times New Roman" w:hAnsi="Times New Roman"/>
          <w:sz w:val="18"/>
          <w:szCs w:val="18"/>
          <w:color w:val="auto"/>
        </w:rPr>
      </w:pPr>
    </w:p>
    <w:p>
      <w:pPr>
        <w:ind w:left="32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Convertible Senior Notes also has the right to require the Company to redeem for cash all outstanding principal amount of such Convertible Senior Notes prior to the maturity, upon occurrence of certain events such as change of control, delisting of the Company’s shares, sale or transfer of substantially all assets, suspension of trading of the Company’s shares for more than ten business days or an event of default.</w:t>
      </w:r>
    </w:p>
    <w:p>
      <w:pPr>
        <w:spacing w:after="0" w:line="20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Senior Notes are classified as a long-term debt initially on balance sheet and measured at amortized cost subsequently.</w:t>
      </w:r>
    </w:p>
    <w:p>
      <w:pPr>
        <w:spacing w:after="0" w:line="225" w:lineRule="exact"/>
        <w:rPr>
          <w:rFonts w:ascii="Times New Roman" w:cs="Times New Roman" w:eastAsia="Times New Roman" w:hAnsi="Times New Roman"/>
          <w:sz w:val="18"/>
          <w:szCs w:val="18"/>
          <w:color w:val="auto"/>
        </w:rPr>
      </w:pPr>
    </w:p>
    <w:p>
      <w:pPr>
        <w:ind w:lef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fair value of the Convertible Senior Notes was valued at US$56,535 and was classified within Level 3. The fair value was estimated by management with the assistance of an independent valuation firm, using the binomial model with the key assumptions including risk-free rate of return, volatility, and bond yield.</w:t>
      </w:r>
    </w:p>
    <w:p>
      <w:pPr>
        <w:spacing w:after="0" w:line="200" w:lineRule="exact"/>
        <w:rPr>
          <w:sz w:val="20"/>
          <w:szCs w:val="20"/>
          <w:color w:val="auto"/>
        </w:rPr>
      </w:pPr>
    </w:p>
    <w:p>
      <w:pPr>
        <w:spacing w:after="0" w:line="3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71" w:name="page172"/>
    <w:bookmarkEnd w:id="171"/>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Leases</w:t>
      </w:r>
    </w:p>
    <w:p>
      <w:pPr>
        <w:sectPr>
          <w:pgSz w:w="11900" w:h="16838" w:orient="portrait"/>
          <w:cols w:equalWidth="0" w:num="1">
            <w:col w:w="10840"/>
          </w:cols>
          <w:pgMar w:left="320" w:top="337" w:right="7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was as follows: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3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66940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66940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6669405" cy="163195"/>
                    </a:xfrm>
                    <a:prstGeom prst="rect">
                      <a:avLst/>
                    </a:prstGeom>
                    <a:noFill/>
                  </pic:spPr>
                </pic:pic>
              </a:graphicData>
            </a:graphic>
          </wp:anchor>
        </w:drawing>
      </w:r>
    </w:p>
    <w:p>
      <w:pPr>
        <w:spacing w:after="0" w:line="3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66940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 liabilities, non-current</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342900</wp:posOffset>
            </wp:positionV>
            <wp:extent cx="666940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669405" cy="196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6669405" cy="196850"/>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lease costs were allocated as follows:</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342900</wp:posOffset>
            </wp:positionV>
            <wp:extent cx="666940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60" w:right="2740"/>
        <w:spacing w:after="0" w:line="353" w:lineRule="auto"/>
        <w:rPr>
          <w:sz w:val="20"/>
          <w:szCs w:val="20"/>
          <w:color w:val="auto"/>
        </w:rPr>
      </w:pPr>
      <w:r>
        <w:rPr>
          <w:rFonts w:ascii="Times New Roman" w:cs="Times New Roman" w:eastAsia="Times New Roman" w:hAnsi="Times New Roman"/>
          <w:sz w:val="17"/>
          <w:szCs w:val="17"/>
          <w:color w:val="auto"/>
        </w:rPr>
        <w:t>Selling, general and administrative expenses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wp:posOffset>
            </wp:positionV>
            <wp:extent cx="6669405" cy="196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6669405" cy="1968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7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was as follows: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342900</wp:posOffset>
            </wp:positionV>
            <wp:extent cx="643763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43763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43763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59055</wp:posOffset>
            </wp:positionV>
            <wp:extent cx="18173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37"/>
        </w:trPr>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86"/>
        </w:trPr>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550"/>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18,206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16,770</w:t>
            </w:r>
          </w:p>
        </w:tc>
      </w:tr>
      <w:tr>
        <w:trPr>
          <w:trHeight w:val="27"/>
        </w:trPr>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18,206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16,770</w:t>
            </w:r>
          </w:p>
        </w:tc>
      </w:tr>
      <w:tr>
        <w:trPr>
          <w:trHeight w:val="27"/>
        </w:trPr>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
        </w:trPr>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66"/>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3"/>
              </w:rPr>
              <w:t>5,611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4,983</w:t>
            </w:r>
          </w:p>
        </w:tc>
      </w:tr>
      <w:tr>
        <w:trPr>
          <w:trHeight w:val="270"/>
        </w:trPr>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16,696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15,696</w:t>
            </w:r>
          </w:p>
        </w:tc>
      </w:tr>
      <w:tr>
        <w:trPr>
          <w:trHeight w:val="27"/>
        </w:trPr>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22,307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20,679</w:t>
            </w:r>
          </w:p>
        </w:tc>
      </w:tr>
      <w:tr>
        <w:trPr>
          <w:trHeight w:val="27"/>
        </w:trPr>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
        </w:trPr>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969"/>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4"/>
        </w:trPr>
        <w:tc>
          <w:tcPr>
            <w:tcW w:w="8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186"/>
        </w:trPr>
        <w:tc>
          <w:tcPr>
            <w:tcW w:w="14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37"/>
        </w:trPr>
        <w:tc>
          <w:tcPr>
            <w:tcW w:w="8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86"/>
        </w:trPr>
        <w:tc>
          <w:tcPr>
            <w:tcW w:w="19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80"/>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7,180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6,060</w:t>
            </w:r>
          </w:p>
        </w:tc>
      </w:tr>
      <w:tr>
        <w:trPr>
          <w:trHeight w:val="270"/>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7,625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6,133</w:t>
            </w:r>
          </w:p>
        </w:tc>
      </w:tr>
      <w:tr>
        <w:trPr>
          <w:trHeight w:val="27"/>
        </w:trPr>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956"/>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4"/>
        </w:trPr>
        <w:tc>
          <w:tcPr>
            <w:tcW w:w="8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186"/>
        </w:trPr>
        <w:tc>
          <w:tcPr>
            <w:tcW w:w="14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37"/>
        </w:trPr>
        <w:tc>
          <w:tcPr>
            <w:tcW w:w="8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86"/>
        </w:trPr>
        <w:tc>
          <w:tcPr>
            <w:tcW w:w="19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80"/>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3,265</w:t>
            </w:r>
          </w:p>
        </w:tc>
      </w:tr>
      <w:tr>
        <w:trPr>
          <w:trHeight w:val="270"/>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3,259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2,868</w:t>
            </w:r>
          </w:p>
        </w:tc>
      </w:tr>
      <w:tr>
        <w:trPr>
          <w:trHeight w:val="27"/>
        </w:trPr>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7,625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6,133</w:t>
            </w:r>
          </w:p>
        </w:tc>
      </w:tr>
      <w:tr>
        <w:trPr>
          <w:trHeight w:val="27"/>
        </w:trPr>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969"/>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4"/>
        </w:trPr>
        <w:tc>
          <w:tcPr>
            <w:tcW w:w="800" w:type="dxa"/>
            <w:vAlign w:val="bottom"/>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r>
      <w:tr>
        <w:trPr>
          <w:trHeight w:val="186"/>
        </w:trPr>
        <w:tc>
          <w:tcPr>
            <w:tcW w:w="15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37"/>
        </w:trPr>
        <w:tc>
          <w:tcPr>
            <w:tcW w:w="800" w:type="dxa"/>
            <w:vAlign w:val="bottom"/>
          </w:tcPr>
          <w:p>
            <w:pPr>
              <w:spacing w:after="0"/>
              <w:rPr>
                <w:sz w:val="3"/>
                <w:szCs w:val="3"/>
                <w:color w:val="auto"/>
              </w:rPr>
            </w:pPr>
          </w:p>
        </w:tc>
        <w:tc>
          <w:tcPr>
            <w:tcW w:w="104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86"/>
        </w:trPr>
        <w:tc>
          <w:tcPr>
            <w:tcW w:w="800" w:type="dxa"/>
            <w:vAlign w:val="bottom"/>
          </w:tcPr>
          <w:p>
            <w:pPr>
              <w:spacing w:after="0"/>
              <w:rPr>
                <w:sz w:val="16"/>
                <w:szCs w:val="16"/>
                <w:color w:val="auto"/>
              </w:rPr>
            </w:pPr>
          </w:p>
        </w:tc>
        <w:tc>
          <w:tcPr>
            <w:tcW w:w="11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80"/>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184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23"/>
                <w:szCs w:val="23"/>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5,422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6,112</w:t>
            </w:r>
          </w:p>
        </w:tc>
        <w:tc>
          <w:tcPr>
            <w:tcW w:w="360" w:type="dxa"/>
            <w:vAlign w:val="bottom"/>
          </w:tcPr>
          <w:p>
            <w:pPr>
              <w:spacing w:after="0"/>
              <w:rPr>
                <w:sz w:val="23"/>
                <w:szCs w:val="23"/>
                <w:color w:val="auto"/>
              </w:rPr>
            </w:pPr>
          </w:p>
        </w:tc>
      </w:tr>
      <w:tr>
        <w:trPr>
          <w:trHeight w:val="810"/>
        </w:trPr>
        <w:tc>
          <w:tcPr>
            <w:tcW w:w="184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3,952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3,494</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6300" w:space="60"/>
            <w:col w:w="4480"/>
          </w:cols>
          <w:pgMar w:left="320" w:top="337" w:right="739" w:bottom="1440" w:gutter="0" w:footer="0" w:header="0"/>
          <w:type w:val="continuous"/>
        </w:sectPr>
      </w:pP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Weighted average remaining lease term and weighted average discount rate for leases are as follows:</w:t>
      </w:r>
    </w:p>
    <w:p>
      <w:pPr>
        <w:sectPr>
          <w:pgSz w:w="11900" w:h="16838" w:orient="portrait"/>
          <w:cols w:equalWidth="0" w:num="1">
            <w:col w:w="10840"/>
          </w:cols>
          <w:pgMar w:left="320" w:top="33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7" w:right="739" w:bottom="1440" w:gutter="0" w:footer="0" w:header="0"/>
          <w:type w:val="continuous"/>
        </w:sectPr>
      </w:pPr>
    </w:p>
    <w:bookmarkStart w:id="172" w:name="page173"/>
    <w:bookmarkEnd w:id="172"/>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6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8.34%</w:t>
            </w: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ectPr>
          <w:pgSz w:w="11900" w:h="16838" w:orient="portrait"/>
          <w:cols w:equalWidth="0" w:num="1">
            <w:col w:w="11100"/>
          </w:cols>
          <w:pgMar w:left="320" w:top="337" w:right="479" w:bottom="918" w:gutter="0" w:footer="0" w:header="0"/>
        </w:sectPr>
      </w:pP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2026</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2027</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2029</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2030</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2031 and thereafter</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Operating lease liabilities, current</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Operating lease liabilities, non-current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non-current assets -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645795</wp:posOffset>
            </wp:positionV>
            <wp:extent cx="364299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364299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Contract cost assets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642995" cy="19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3642995" cy="196850"/>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Ordinary shares and treasury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-2537460</wp:posOffset>
            </wp:positionV>
            <wp:extent cx="559752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5597525" cy="17145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-2194560</wp:posOffset>
            </wp:positionV>
            <wp:extent cx="559752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5597525" cy="17145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-1851660</wp:posOffset>
            </wp:positionV>
            <wp:extent cx="559752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5597525" cy="17145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-771525</wp:posOffset>
            </wp:positionV>
            <wp:extent cx="559752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5597525" cy="17145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-1157605</wp:posOffset>
            </wp:positionV>
            <wp:extent cx="5597525" cy="196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5597525" cy="19685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-1508760</wp:posOffset>
            </wp:positionV>
            <wp:extent cx="5597525"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5597525" cy="18034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41910</wp:posOffset>
            </wp:positionV>
            <wp:extent cx="1405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6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41910</wp:posOffset>
            </wp:positionV>
            <wp:extent cx="1405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—26,620</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3,880</w:t>
      </w:r>
      <w:r>
        <w:rPr>
          <w:rFonts w:ascii="Times New Roman" w:cs="Times New Roman" w:eastAsia="Times New Roman" w:hAnsi="Times New Roman"/>
          <w:sz w:val="17"/>
          <w:szCs w:val="17"/>
          <w:color w:val="auto"/>
        </w:rPr>
        <w:t>3,569</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3,88030,189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62865</wp:posOffset>
            </wp:positionV>
            <wp:extent cx="1405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59055</wp:posOffset>
            </wp:positionV>
            <wp:extent cx="13373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9"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US$</w:t>
      </w:r>
    </w:p>
    <w:p>
      <w:pPr>
        <w:spacing w:after="0" w:line="75"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5,413</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5,350</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4,352</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3,475</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3,241</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3,741</w:t>
      </w:r>
    </w:p>
    <w:p>
      <w:pPr>
        <w:spacing w:after="0" w:line="77"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25,572</w:t>
      </w:r>
    </w:p>
    <w:p>
      <w:pPr>
        <w:spacing w:after="0" w:line="63"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color w:val="auto"/>
        </w:rPr>
        <w:t>(4,893)</w:t>
      </w:r>
    </w:p>
    <w:p>
      <w:pPr>
        <w:spacing w:after="0" w:line="7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b w:val="1"/>
          <w:bCs w:val="1"/>
          <w:color w:val="auto"/>
        </w:rPr>
        <w:t>20,679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62865</wp:posOffset>
            </wp:positionV>
            <wp:extent cx="13373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0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4,983</w:t>
      </w:r>
    </w:p>
    <w:p>
      <w:pPr>
        <w:spacing w:after="0" w:line="6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15,696</w:t>
      </w:r>
    </w:p>
    <w:p>
      <w:pPr>
        <w:spacing w:after="0" w:line="3138" w:lineRule="exact"/>
        <w:rPr>
          <w:sz w:val="20"/>
          <w:szCs w:val="20"/>
          <w:color w:val="auto"/>
        </w:rPr>
      </w:pPr>
    </w:p>
    <w:p>
      <w:pPr>
        <w:sectPr>
          <w:pgSz w:w="11900" w:h="16838" w:orient="portrait"/>
          <w:cols w:equalWidth="0" w:num="3">
            <w:col w:w="3500" w:space="720"/>
            <w:col w:w="2400" w:space="720"/>
            <w:col w:w="3760"/>
          </w:cols>
          <w:pgMar w:left="320" w:top="337" w:right="479" w:bottom="918" w:gutter="0" w:footer="0" w:header="0"/>
          <w:type w:val="continuous"/>
        </w:sectPr>
      </w:pPr>
    </w:p>
    <w:p>
      <w:pPr>
        <w:spacing w:after="0" w:line="2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US$50 divided into 10,000,000,000 shares comprising of (i) 8,000,000,000 Class A Ordinary Shares with par value of US$0.000005 each, (ii) 1,000,000,000 Class B Ordinary Shares with par value of US$0.000005 each, and (iii) 1,000,000,000 shares with par value of US$0.000005 each of such class or classes (however designated) as the Board of Directors may determine in accordance with the Articles.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the Company issued 554,575 Class A Ordinary Shares for the 2022 Share Incentive Plan.</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the Company issued 7,180,061 Class A Ordinary Shares for the 2022 Share Incentive Plan.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the Company issued 8,130,272 Class A Ordinary Shares for the 2022 Share Incentive Plan.</w:t>
      </w:r>
    </w:p>
    <w:p>
      <w:pPr>
        <w:sectPr>
          <w:pgSz w:w="11900" w:h="16838" w:orient="portrait"/>
          <w:cols w:equalWidth="0" w:num="1">
            <w:col w:w="11100"/>
          </w:cols>
          <w:pgMar w:left="320" w:top="337" w:right="479" w:bottom="91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918" w:gutter="0" w:footer="0" w:header="0"/>
          <w:type w:val="continuous"/>
        </w:sectPr>
      </w:pPr>
    </w:p>
    <w:bookmarkStart w:id="173" w:name="page174"/>
    <w:bookmarkEnd w:id="173"/>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77"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On March 28, 2025, the Group issued 25,000,000 Class A ordinary shares upon follow-on public offering at a public offering price of US$1.80 per share. The Group received net proceeds of US$42,578.</w:t>
      </w:r>
    </w:p>
    <w:p>
      <w:pPr>
        <w:spacing w:after="0" w:line="189"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Group issued 4,107,146 Class A ordinary shares upon conversion of aggregate US$7,664 principal amount of its convertible notes.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3,000,000 Class B ordinary shares held by Jie&amp;Hao Holding Limited were converted into equivalent number of Class A ordinary shares.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240" w:lineRule="exact"/>
        <w:rPr>
          <w:sz w:val="20"/>
          <w:szCs w:val="20"/>
          <w:color w:val="auto"/>
        </w:rPr>
      </w:pPr>
    </w:p>
    <w:p>
      <w:pPr>
        <w:ind w:left="340" w:right="40"/>
        <w:spacing w:after="0" w:line="296" w:lineRule="auto"/>
        <w:rPr>
          <w:sz w:val="20"/>
          <w:szCs w:val="20"/>
          <w:color w:val="auto"/>
        </w:rPr>
      </w:pPr>
      <w:r>
        <w:rPr>
          <w:rFonts w:ascii="Times New Roman" w:cs="Times New Roman" w:eastAsia="Times New Roman" w:hAnsi="Times New Roman"/>
          <w:sz w:val="17"/>
          <w:szCs w:val="17"/>
          <w:color w:val="auto"/>
        </w:rPr>
        <w:t>On July 15</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2024, the Company received a written notice from a shareholder relating to the surrender of 4,500,000 Class A ordinary shares of the Company by that shareholder for no consideration. These surrendered shares were designated and held in the name of the Company as treasury shares.</w:t>
      </w:r>
    </w:p>
    <w:p>
      <w:pPr>
        <w:spacing w:after="0" w:line="152"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In December 2024, the Group kicked-off a share repurchase program under which the Company may repurchase up to US$20,000 of its ordinary shares until the close of business on September 30, 2025. The limit was subsequently increased to an aggregate amount of US$40,000 up to the end of March 31, 2026. Under the repurchase program, the Company’s proposed repurchases may be made from time to time in the open market at prevailing market prices, in privately negotiated transactions, in block trades and/or through other legally permissible means, depending on market conditions and in accordance with applicable rules and regulations. During the year ended December 31, 2025, the Company repurchased 20,897,751 shares (2024: 503,000 shares) in the open market for a total consideration, including related expenses, of US$28,985 (2024: US$1,019) which are reported as treasury shares on the consolidated balance sheets.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Share 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Restricted Share Unit ("RSU")</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2019 RSU Plan</w:t>
      </w:r>
    </w:p>
    <w:p>
      <w:pPr>
        <w:spacing w:after="0" w:line="243" w:lineRule="exact"/>
        <w:rPr>
          <w:sz w:val="20"/>
          <w:szCs w:val="20"/>
          <w:color w:val="auto"/>
        </w:rPr>
      </w:pPr>
    </w:p>
    <w:p>
      <w:pPr>
        <w:ind w:left="340" w:right="140"/>
        <w:spacing w:after="0"/>
        <w:rPr>
          <w:sz w:val="20"/>
          <w:szCs w:val="20"/>
          <w:color w:val="auto"/>
        </w:rPr>
      </w:pPr>
      <w:r>
        <w:rPr>
          <w:rFonts w:ascii="Times New Roman" w:cs="Times New Roman" w:eastAsia="Times New Roman" w:hAnsi="Times New Roman"/>
          <w:sz w:val="18"/>
          <w:szCs w:val="18"/>
          <w:color w:val="auto"/>
        </w:rPr>
        <w:t>In December 2019, Mr. Ziyu Shen set up a trust (the “Trust”), of which he acted as the sole beneficiary. He transferred 23,859,142 ordinary shares he owned, representing 10.0% of total outstanding shares of the Company, to the Trust, and entered into 2019 RSU agreements with key employees and external consultants, which were modified in December 2021 (the “2019 Modified RSU Plan”). 2019 Modified RSU Plan entitled the grantees to purchase the economic beneficial right of the ordinary shares in the Trust.</w:t>
      </w:r>
    </w:p>
    <w:p>
      <w:pPr>
        <w:spacing w:after="0" w:line="212" w:lineRule="exact"/>
        <w:rPr>
          <w:sz w:val="20"/>
          <w:szCs w:val="20"/>
          <w:color w:val="auto"/>
        </w:rPr>
      </w:pPr>
    </w:p>
    <w:p>
      <w:pPr>
        <w:ind w:left="340" w:right="560"/>
        <w:spacing w:after="0" w:line="266" w:lineRule="auto"/>
        <w:rPr>
          <w:sz w:val="20"/>
          <w:szCs w:val="20"/>
          <w:color w:val="auto"/>
        </w:rPr>
      </w:pPr>
      <w:r>
        <w:rPr>
          <w:rFonts w:ascii="Times New Roman" w:cs="Times New Roman" w:eastAsia="Times New Roman" w:hAnsi="Times New Roman"/>
          <w:sz w:val="18"/>
          <w:szCs w:val="18"/>
          <w:color w:val="auto"/>
        </w:rPr>
        <w:t>RSUs granted under the 2019 RSU Plan have a contractual term of ten years and have varying vesting terms that requires the grantees to render services for a period maximum to five years under which the grantees earn an entitlement to vest over such stipulated services period.</w:t>
      </w:r>
    </w:p>
    <w:p>
      <w:pPr>
        <w:spacing w:after="0" w:line="189" w:lineRule="exact"/>
        <w:rPr>
          <w:sz w:val="20"/>
          <w:szCs w:val="20"/>
          <w:color w:val="auto"/>
        </w:rPr>
      </w:pP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Pursuant to the 2019 Modified RSU Plan, the Company granted an aggregate number of 4,342,364, nil and 230,000 RSUs to employees during the years ended December 31, 2023, 2024 and 2025, respectively. In July 2025, in connection with an employee’s termination of employment, the employee voluntarily surrendered to the Company 230,000 vested RSUs, which were cancelled without consideration.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Modifications</w:t>
      </w:r>
    </w:p>
    <w:p>
      <w:pPr>
        <w:spacing w:after="0" w:line="214" w:lineRule="exact"/>
        <w:rPr>
          <w:sz w:val="20"/>
          <w:szCs w:val="20"/>
          <w:color w:val="auto"/>
        </w:rPr>
      </w:pPr>
    </w:p>
    <w:p>
      <w:pPr>
        <w:ind w:left="340" w:right="280"/>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2023, 2024 and 2025, the vesting condition or exercise price of 4,175,352, 4,935,321 and 2,396,730 RSUs, respectively, granted under the 2019 Modified RSU Plan were modified. The Company accounted for those modifications as a Type I (probable-to-probable) modification and recognized incremental compensation costs of US$2,349, US$1,458 and US$28,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2022 Share Incentive Plan</w:t>
      </w:r>
    </w:p>
    <w:p>
      <w:pPr>
        <w:spacing w:after="0" w:line="243" w:lineRule="exact"/>
        <w:rPr>
          <w:sz w:val="20"/>
          <w:szCs w:val="20"/>
          <w:color w:val="auto"/>
        </w:rPr>
      </w:pPr>
    </w:p>
    <w:p>
      <w:pPr>
        <w:ind w:left="80" w:right="260"/>
        <w:spacing w:after="0" w:line="245" w:lineRule="auto"/>
        <w:rPr>
          <w:sz w:val="20"/>
          <w:szCs w:val="20"/>
          <w:color w:val="auto"/>
        </w:rPr>
      </w:pPr>
      <w:r>
        <w:rPr>
          <w:rFonts w:ascii="Times New Roman" w:cs="Times New Roman" w:eastAsia="Times New Roman" w:hAnsi="Times New Roman"/>
          <w:sz w:val="18"/>
          <w:szCs w:val="18"/>
          <w:color w:val="auto"/>
        </w:rPr>
        <w:t>In December 2022, the Company’s Board of Directors approved a share award plan (the “2022 Share Incentive Plan”) for the granting of options, restricted shares, restricted share units or other equity incentive awards (collectively referred to as the ‘‘Awards’’), to attract and retain the best available personnel, provide additional incentives to employees, directors and consultants, and promote the success of the Company’s business. The maximum aggregate number of ordinary shares that may be issued under the 2022 Share Incentive Plan is 18,903,472.</w:t>
      </w:r>
    </w:p>
    <w:p>
      <w:pPr>
        <w:spacing w:after="0" w:line="208" w:lineRule="exact"/>
        <w:rPr>
          <w:sz w:val="20"/>
          <w:szCs w:val="20"/>
          <w:color w:val="auto"/>
        </w:rPr>
      </w:pPr>
    </w:p>
    <w:p>
      <w:pPr>
        <w:ind w:left="80" w:right="300"/>
        <w:spacing w:after="0" w:line="266" w:lineRule="auto"/>
        <w:rPr>
          <w:sz w:val="20"/>
          <w:szCs w:val="20"/>
          <w:color w:val="auto"/>
        </w:rPr>
      </w:pPr>
      <w:r>
        <w:rPr>
          <w:rFonts w:ascii="Times New Roman" w:cs="Times New Roman" w:eastAsia="Times New Roman" w:hAnsi="Times New Roman"/>
          <w:sz w:val="18"/>
          <w:szCs w:val="18"/>
          <w:color w:val="auto"/>
        </w:rPr>
        <w:t>RSUs granted under the 2022 Share Incentive Plan have a contractual term of ten years and have varying vesting terms that requires the grantees to render services for a period maximum to four years under which the grantees earn an entitlement to vest over such stipulated services period.</w:t>
      </w:r>
    </w:p>
    <w:p>
      <w:pPr>
        <w:spacing w:after="0" w:line="189" w:lineRule="exact"/>
        <w:rPr>
          <w:sz w:val="20"/>
          <w:szCs w:val="20"/>
          <w:color w:val="auto"/>
        </w:rPr>
      </w:pPr>
    </w:p>
    <w:p>
      <w:pPr>
        <w:ind w:left="80" w:right="140"/>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2023, 2024 and 2025, 460,671, 1,256,490 and 97,195 RSUs were granted under the 2022 Share Incentive Plan, respectively, among which, 460,671, 824,830 and 76,923 RSUs were granted to directors or officers, respectively.</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RSUs for the year ended December 31, 2025:</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4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11,863,038</w:t>
            </w:r>
          </w:p>
        </w:tc>
        <w:tc>
          <w:tcPr>
            <w:tcW w:w="15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0.31</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(new 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327,195</w:t>
            </w: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(replacement 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2,396,730</w:t>
            </w:r>
          </w:p>
        </w:tc>
        <w:tc>
          <w:tcPr>
            <w:tcW w:w="15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(2,396,730)</w:t>
            </w:r>
          </w:p>
        </w:tc>
        <w:tc>
          <w:tcPr>
            <w:tcW w:w="15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(8,998,984)</w:t>
            </w:r>
          </w:p>
        </w:tc>
        <w:tc>
          <w:tcPr>
            <w:tcW w:w="1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5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2,909,230</w:t>
            </w:r>
          </w:p>
        </w:tc>
        <w:tc>
          <w:tcPr>
            <w:tcW w:w="1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0.38</w:t>
            </w:r>
          </w:p>
        </w:tc>
        <w:tc>
          <w:tcPr>
            <w:tcW w:w="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2,761,834</w:t>
            </w:r>
          </w:p>
        </w:tc>
        <w:tc>
          <w:tcPr>
            <w:tcW w:w="15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0.43</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Amount less than US$0.01</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for the years ended December 31, 2023, 2024 and 2025 was US$1.65, US$1.83 and</w:t>
      </w:r>
    </w:p>
    <w:p>
      <w:pPr>
        <w:spacing w:after="0" w:line="36" w:lineRule="exact"/>
        <w:rPr>
          <w:sz w:val="20"/>
          <w:szCs w:val="20"/>
          <w:color w:val="auto"/>
        </w:rPr>
      </w:pPr>
    </w:p>
    <w:p>
      <w:pPr>
        <w:ind w:left="80"/>
        <w:spacing w:after="0" w:line="266" w:lineRule="auto"/>
        <w:rPr>
          <w:sz w:val="20"/>
          <w:szCs w:val="20"/>
          <w:color w:val="auto"/>
        </w:rPr>
      </w:pPr>
      <w:r>
        <w:rPr>
          <w:rFonts w:ascii="Times New Roman" w:cs="Times New Roman" w:eastAsia="Times New Roman" w:hAnsi="Times New Roman"/>
          <w:sz w:val="18"/>
          <w:szCs w:val="18"/>
          <w:color w:val="auto"/>
        </w:rPr>
        <w:t>US$1.71 per RSU, respectively. Total intrinsic value of RSUs exercised was US$55,086, US$23,901 and US$46,764 for the years ended December 31, 2023, 2024 and 2025, respectively.</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fair value of the RSUs granted in 2023, 2024 and 2025 was estimated using the binomial model with the following assumptions used: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75" w:name="page176"/>
    <w:bookmarkEnd w:id="175"/>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86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7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 (i)</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- 4.25%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- 3.95%</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(ii)</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 - 44.73%</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 - 47.65%</w:t>
            </w:r>
          </w:p>
        </w:tc>
      </w:tr>
      <w:tr>
        <w:trPr>
          <w:trHeight w:val="27"/>
        </w:trPr>
        <w:tc>
          <w:tcPr>
            <w:tcW w:w="4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(iii)</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underlying ordinary share (iv)</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US$3.68-US$6.91</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US$0.96 - US$1.60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US$1.72 - US$2.50</w:t>
            </w:r>
          </w:p>
        </w:tc>
      </w:tr>
      <w:tr>
        <w:trPr>
          <w:trHeight w:val="27"/>
        </w:trPr>
        <w:tc>
          <w:tcPr>
            <w:tcW w:w="4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(v)</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47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50" w:lineRule="exact"/>
        <w:rPr>
          <w:sz w:val="20"/>
          <w:szCs w:val="20"/>
          <w:color w:val="auto"/>
        </w:rPr>
      </w:pPr>
    </w:p>
    <w:p>
      <w:pPr>
        <w:ind w:left="660" w:right="80" w:hanging="328"/>
        <w:spacing w:after="0" w:line="301" w:lineRule="auto"/>
        <w:tabs>
          <w:tab w:leader="none" w:pos="655"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RSUs issued in US$ or RMB, the risk-free interest rate was separately estimated based on the yield to maturity of U.S. Treasury bonds or China Government Bond for a term consistent with the expected term of the Company’s RSUs in effect at the valuation date.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estimated based on the historical volatility of comparable peer public companies with a time horizon close to the expected term of the Company’s RSUs.</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 yield is zero as the Company does not anticipate any dividend payments in the foreseeable future.</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underlying ordinary share is the closing price of the Company’s ordinary shares traded in the open market as of the grant date.</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is the contract life of the RSUs.</w:t>
      </w:r>
    </w:p>
    <w:p>
      <w:pPr>
        <w:spacing w:after="0" w:line="235" w:lineRule="exact"/>
        <w:rPr>
          <w:sz w:val="20"/>
          <w:szCs w:val="20"/>
          <w:color w:val="auto"/>
        </w:rPr>
      </w:pPr>
    </w:p>
    <w:p>
      <w:pPr>
        <w:ind w:left="340" w:right="340"/>
        <w:spacing w:after="0" w:line="294" w:lineRule="auto"/>
        <w:rPr>
          <w:sz w:val="20"/>
          <w:szCs w:val="20"/>
          <w:color w:val="auto"/>
        </w:rPr>
      </w:pPr>
      <w:r>
        <w:rPr>
          <w:rFonts w:ascii="Times New Roman" w:cs="Times New Roman" w:eastAsia="Times New Roman" w:hAnsi="Times New Roman"/>
          <w:sz w:val="18"/>
          <w:szCs w:val="18"/>
          <w:color w:val="auto"/>
        </w:rPr>
        <w:t>As of December 31, 2025, US$159 of total unrecognized compensation expense related to the RSUs is expected to be recognized over a weighted-average period of 2.7 years</w:t>
      </w:r>
      <w:r>
        <w:rPr>
          <w:rFonts w:ascii="Arial" w:cs="Arial" w:eastAsia="Arial" w:hAnsi="Arial"/>
          <w:sz w:val="21"/>
          <w:szCs w:val="21"/>
          <w:color w:val="auto"/>
        </w:rPr>
        <w: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Performance Share Units (“PSUs”)</w:t>
      </w:r>
    </w:p>
    <w:p>
      <w:pPr>
        <w:spacing w:after="0" w:line="229"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In June 2024, the Group’s board of directors approved the grant of total 6,000,000 PSUs to certain executive officers under the 2022 Share Incentive Plan with nil exercise price. The vesting of PSUs is contingent on meeting certain financial performance targets, market conditions and continued service.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PSUs for the year ended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2840" w:type="dxa"/>
            <w:vAlign w:val="bottom"/>
          </w:tcPr>
          <w:p>
            <w:pPr>
              <w:spacing w:after="0"/>
              <w:rPr>
                <w:sz w:val="15"/>
                <w:szCs w:val="15"/>
                <w:color w:val="auto"/>
              </w:rPr>
            </w:pPr>
          </w:p>
        </w:tc>
      </w:tr>
      <w:tr>
        <w:trPr>
          <w:trHeight w:val="227"/>
        </w:trPr>
        <w:tc>
          <w:tcPr>
            <w:tcW w:w="34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value at grant date</w:t>
            </w:r>
          </w:p>
        </w:tc>
        <w:tc>
          <w:tcPr>
            <w:tcW w:w="2840" w:type="dxa"/>
            <w:vAlign w:val="bottom"/>
          </w:tcPr>
          <w:p>
            <w:pPr>
              <w:spacing w:after="0"/>
              <w:rPr>
                <w:sz w:val="19"/>
                <w:szCs w:val="19"/>
                <w:color w:val="auto"/>
              </w:rPr>
            </w:pPr>
          </w:p>
        </w:tc>
      </w:tr>
      <w:tr>
        <w:trPr>
          <w:trHeight w:val="186"/>
        </w:trPr>
        <w:tc>
          <w:tcPr>
            <w:tcW w:w="3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840" w:type="dxa"/>
            <w:vAlign w:val="bottom"/>
          </w:tcPr>
          <w:p>
            <w:pPr>
              <w:spacing w:after="0"/>
              <w:rPr>
                <w:sz w:val="16"/>
                <w:szCs w:val="16"/>
                <w:color w:val="auto"/>
              </w:rPr>
            </w:pPr>
          </w:p>
        </w:tc>
      </w:tr>
      <w:tr>
        <w:trPr>
          <w:trHeight w:val="37"/>
        </w:trPr>
        <w:tc>
          <w:tcPr>
            <w:tcW w:w="34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8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(928,667)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(1,674,667)</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40" w:type="dxa"/>
            <w:vAlign w:val="bottom"/>
          </w:tcPr>
          <w:p>
            <w:pPr>
              <w:spacing w:after="0"/>
              <w:rPr>
                <w:sz w:val="23"/>
                <w:szCs w:val="23"/>
                <w:color w:val="auto"/>
              </w:rPr>
            </w:pPr>
          </w:p>
        </w:tc>
      </w:tr>
      <w:tr>
        <w:trPr>
          <w:trHeight w:val="264"/>
        </w:trPr>
        <w:tc>
          <w:tcPr>
            <w:tcW w:w="340" w:type="dxa"/>
            <w:vAlign w:val="bottom"/>
          </w:tcPr>
          <w:p>
            <w:pPr>
              <w:spacing w:after="0"/>
              <w:rPr>
                <w:sz w:val="22"/>
                <w:szCs w:val="22"/>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8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4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898"/>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F-46</w:t>
            </w:r>
          </w:p>
        </w:tc>
        <w:tc>
          <w:tcPr>
            <w:tcW w:w="1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PSUs granted for the years ended December 31, 2024 and 2025 was US$1.69 and US$1.72 per PSU, respectively. Total intrinsic value of PSUs exercised was nil and US$781 for the years ended December 31, 2024 and 2025, respectively.</w:t>
      </w:r>
    </w:p>
    <w:p>
      <w:pPr>
        <w:spacing w:after="0" w:line="203"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fair value of the PSUs granted in 2024 was estimated using the Monte Carlo simulation with the following assumptions used. The fair value of the PSUs granted in 2025 was estimated using the closing price as of the grant dates of listed trading price of the Company.</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 (i)</w:t>
            </w:r>
          </w:p>
        </w:tc>
        <w:tc>
          <w:tcPr>
            <w:tcW w:w="210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4.26%</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(ii)</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43.25%</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(iii)</w:t>
            </w:r>
          </w:p>
        </w:tc>
        <w:tc>
          <w:tcPr>
            <w:tcW w:w="210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underlying ordinary share (iv)</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US$1.69</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(v)</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4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ind w:left="660" w:hanging="328"/>
        <w:spacing w:after="0" w:line="243" w:lineRule="auto"/>
        <w:tabs>
          <w:tab w:leader="none" w:pos="64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was estimated based on the yield to maturity of U.S. Treasury bonds for a term consistent with the expected term of the Company’s PSUs in effect at the valuation date.</w:t>
      </w:r>
    </w:p>
    <w:p>
      <w:pPr>
        <w:ind w:left="640" w:hanging="308"/>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estimated based on the historical volatility of comparable peer public companies with a time horizon close to the expected term of the Company’s PSUs.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 yield is zero as the Company does not anticipate any dividend payments in the foreseeable future.</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underlying ordinary share is the closing price of the Company’s ordinary shares traded in the open market as of the grant date.</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is the contract life of the PSUs.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Options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Option Plan</w:t>
      </w:r>
    </w:p>
    <w:p>
      <w:pPr>
        <w:spacing w:after="0" w:line="243" w:lineRule="exact"/>
        <w:rPr>
          <w:sz w:val="20"/>
          <w:szCs w:val="20"/>
          <w:color w:val="auto"/>
        </w:rPr>
      </w:pPr>
    </w:p>
    <w:p>
      <w:pPr>
        <w:ind w:left="340" w:right="200"/>
        <w:spacing w:after="0" w:line="242" w:lineRule="auto"/>
        <w:rPr>
          <w:sz w:val="20"/>
          <w:szCs w:val="20"/>
          <w:color w:val="auto"/>
        </w:rPr>
      </w:pPr>
      <w:r>
        <w:rPr>
          <w:rFonts w:ascii="Times New Roman" w:cs="Times New Roman" w:eastAsia="Times New Roman" w:hAnsi="Times New Roman"/>
          <w:sz w:val="18"/>
          <w:szCs w:val="18"/>
          <w:color w:val="auto"/>
        </w:rPr>
        <w:t>In July 2021, the Company’s shareholders and Board of Directors approved a share option plan (the “2021 Option Plan”), which granted the employees, directors and officers an option to purchase ordinary shares of the Company at an exercise price of US$9.70 per share. The grantees are entitled to cumulative vesting of 25% of the total grants for every twelve-month service period since their employment commencement. The share options can only be exercised upon the occurrence a qualified IPO. The maximum aggregate number of ordinary shares that may be issued under the 2021 Option Incentive Plan is 16,802,069.</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2023, the Company granted 63,464 share options to certain employees.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Share Incentive Plan</w:t>
      </w:r>
    </w:p>
    <w:p>
      <w:pPr>
        <w:spacing w:after="0" w:line="243" w:lineRule="exact"/>
        <w:rPr>
          <w:sz w:val="20"/>
          <w:szCs w:val="20"/>
          <w:color w:val="auto"/>
        </w:rPr>
      </w:pPr>
    </w:p>
    <w:p>
      <w:pPr>
        <w:jc w:val="both"/>
        <w:ind w:left="340" w:right="480"/>
        <w:spacing w:after="0" w:line="250" w:lineRule="auto"/>
        <w:rPr>
          <w:sz w:val="20"/>
          <w:szCs w:val="20"/>
          <w:color w:val="auto"/>
        </w:rPr>
      </w:pPr>
      <w:r>
        <w:rPr>
          <w:rFonts w:ascii="Times New Roman" w:cs="Times New Roman" w:eastAsia="Times New Roman" w:hAnsi="Times New Roman"/>
          <w:sz w:val="18"/>
          <w:szCs w:val="18"/>
          <w:color w:val="auto"/>
        </w:rPr>
        <w:t>Share options granted under the 2022 Share Incentive Plan have a contractual term of ten years and have varying vesting terms that requires the grantees to render services for a period maximum to four years under which the grantees earn an entitlement to vest over such stipulated services period.</w:t>
      </w:r>
    </w:p>
    <w:p>
      <w:pPr>
        <w:spacing w:after="0" w:line="217"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93,904, 5,821,580 and 7,850,352 options were granted under the 2022 Share Incentive Plan, respectively, among which, 93,904, 246,724 and 202,532 options were granted to directors or officers, respectively.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summarizes activities of the options for the year ended December 31, 2025.</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4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15,935,056</w:t>
            </w:r>
          </w:p>
        </w:tc>
        <w:tc>
          <w:tcPr>
            <w:tcW w:w="15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left="937"/>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7,850,532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52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(490,137)</w:t>
            </w:r>
          </w:p>
        </w:tc>
        <w:tc>
          <w:tcPr>
            <w:tcW w:w="15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left="937"/>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(663,908)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52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22,631,543</w:t>
            </w:r>
          </w:p>
        </w:tc>
        <w:tc>
          <w:tcPr>
            <w:tcW w:w="15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4.77</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b w:val="1"/>
                <w:bCs w:val="1"/>
                <w:color w:val="auto"/>
              </w:rPr>
              <w:t>7.52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52,545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13,853,496</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7.55</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21"/>
                <w:szCs w:val="21"/>
                <w:color w:val="auto"/>
              </w:rPr>
            </w:pPr>
          </w:p>
        </w:tc>
        <w:tc>
          <w:tcPr>
            <w:tcW w:w="1420" w:type="dxa"/>
            <w:vAlign w:val="bottom"/>
          </w:tcPr>
          <w:p>
            <w:pPr>
              <w:jc w:val="center"/>
              <w:ind w:left="1017"/>
              <w:spacing w:after="0"/>
              <w:rPr>
                <w:sz w:val="20"/>
                <w:szCs w:val="20"/>
                <w:color w:val="auto"/>
              </w:rPr>
            </w:pPr>
            <w:r>
              <w:rPr>
                <w:rFonts w:ascii="Times New Roman" w:cs="Times New Roman" w:eastAsia="Times New Roman" w:hAnsi="Times New Roman"/>
                <w:sz w:val="18"/>
                <w:szCs w:val="18"/>
                <w:b w:val="1"/>
                <w:bCs w:val="1"/>
                <w:color w:val="auto"/>
              </w:rPr>
              <w:t>6.24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34,602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for the years ended December 31, 2023, 2024 and 2025 was US$3.12, US$1.24 and</w:t>
      </w:r>
    </w:p>
    <w:p>
      <w:pPr>
        <w:spacing w:after="0" w:line="16" w:lineRule="exact"/>
        <w:rPr>
          <w:sz w:val="20"/>
          <w:szCs w:val="20"/>
          <w:color w:val="auto"/>
        </w:rPr>
      </w:pPr>
    </w:p>
    <w:p>
      <w:pPr>
        <w:ind w:left="80"/>
        <w:spacing w:after="0" w:line="243" w:lineRule="auto"/>
        <w:rPr>
          <w:sz w:val="20"/>
          <w:szCs w:val="20"/>
          <w:color w:val="auto"/>
        </w:rPr>
      </w:pPr>
      <w:r>
        <w:rPr>
          <w:rFonts w:ascii="Times New Roman" w:cs="Times New Roman" w:eastAsia="Times New Roman" w:hAnsi="Times New Roman"/>
          <w:sz w:val="18"/>
          <w:szCs w:val="18"/>
          <w:color w:val="auto"/>
        </w:rPr>
        <w:t>US$1.66 per option, respectively. Total intrinsic value of options exercised was nil, US$136 and US$812 for the years ended December 31, 2023, 2024 and 2025, respectively.</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fair value of the options granted in 2023, 2024 and 2025 was estimated using the binomial model with the following assumptions used:</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86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7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 (i)</w:t>
            </w:r>
          </w:p>
        </w:tc>
        <w:tc>
          <w:tcPr>
            <w:tcW w:w="1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 – 3.88%</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- 4.69%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- 4.58%</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(ii)</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44.37% – 44.95%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 - 47.34%</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 - 47.34%</w:t>
            </w:r>
          </w:p>
        </w:tc>
      </w:tr>
      <w:tr>
        <w:trPr>
          <w:trHeight w:val="27"/>
        </w:trPr>
        <w:tc>
          <w:tcPr>
            <w:tcW w:w="4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(iii)</w:t>
            </w:r>
          </w:p>
        </w:tc>
        <w:tc>
          <w:tcPr>
            <w:tcW w:w="186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underlying ordinary share (iv)</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US$3.16 - US$8.02</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US$1.14 - US$1.84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US$1.57 - US$2.11</w:t>
            </w:r>
          </w:p>
        </w:tc>
      </w:tr>
      <w:tr>
        <w:trPr>
          <w:trHeight w:val="27"/>
        </w:trPr>
        <w:tc>
          <w:tcPr>
            <w:tcW w:w="4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(v)</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47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ind w:left="400" w:right="200" w:hanging="328"/>
        <w:spacing w:after="0" w:line="271" w:lineRule="auto"/>
        <w:tabs>
          <w:tab w:leader="none" w:pos="395"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was estimated based on the yield to maturity of U.S. Treasury bonds for a term consistent with the expected term of the Company’s options in effect at the valuation date.</w:t>
      </w:r>
    </w:p>
    <w:p>
      <w:pPr>
        <w:ind w:left="400" w:hanging="328"/>
        <w:spacing w:after="0"/>
        <w:tabs>
          <w:tab w:leader="none" w:pos="4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estimated based on the historical volatility of comparable peer public companies with a time horizon close to the expected term of the Company’s options.</w:t>
      </w:r>
    </w:p>
    <w:p>
      <w:pPr>
        <w:spacing w:after="0" w:line="4" w:lineRule="exact"/>
        <w:rPr>
          <w:rFonts w:ascii="Times New Roman" w:cs="Times New Roman" w:eastAsia="Times New Roman" w:hAnsi="Times New Roman"/>
          <w:sz w:val="14"/>
          <w:szCs w:val="14"/>
          <w:color w:val="auto"/>
        </w:rPr>
      </w:pPr>
    </w:p>
    <w:p>
      <w:pPr>
        <w:ind w:left="380" w:hanging="308"/>
        <w:spacing w:after="0"/>
        <w:tabs>
          <w:tab w:leader="none" w:pos="3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 yield is zero as the Company does not anticipate any dividend payments in the foreseeable future.</w:t>
      </w:r>
    </w:p>
    <w:p>
      <w:pPr>
        <w:spacing w:after="0" w:line="11" w:lineRule="exact"/>
        <w:rPr>
          <w:rFonts w:ascii="Times New Roman" w:cs="Times New Roman" w:eastAsia="Times New Roman" w:hAnsi="Times New Roman"/>
          <w:sz w:val="14"/>
          <w:szCs w:val="14"/>
          <w:color w:val="auto"/>
        </w:rPr>
      </w:pPr>
    </w:p>
    <w:p>
      <w:pPr>
        <w:ind w:left="380" w:hanging="308"/>
        <w:spacing w:after="0"/>
        <w:tabs>
          <w:tab w:leader="none" w:pos="3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underlying ordinary share is the closing price of the Company’s ordinary shares traded in the open market as of the grant date.</w:t>
      </w:r>
    </w:p>
    <w:p>
      <w:pPr>
        <w:spacing w:after="0" w:line="14" w:lineRule="exact"/>
        <w:rPr>
          <w:rFonts w:ascii="Times New Roman" w:cs="Times New Roman" w:eastAsia="Times New Roman" w:hAnsi="Times New Roman"/>
          <w:sz w:val="14"/>
          <w:szCs w:val="14"/>
          <w:color w:val="auto"/>
        </w:rPr>
      </w:pPr>
    </w:p>
    <w:p>
      <w:pPr>
        <w:ind w:left="380" w:hanging="308"/>
        <w:spacing w:after="0"/>
        <w:tabs>
          <w:tab w:leader="none" w:pos="3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is the contract life of the option awards.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337" w:right="359" w:bottom="1440" w:gutter="0" w:footer="0" w:header="0"/>
        </w:sectPr>
      </w:pPr>
    </w:p>
    <w:bookmarkStart w:id="178" w:name="page179"/>
    <w:bookmarkEnd w:id="178"/>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2025, US$7,036 of total unrecognized compensation expense related to the options is expected to be recognized over a weighted-average period of 3.23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expense recognized for RSUs, PSUs and options for the years ended December 31, 2023, 2024 and 2025 is allocated as follows.</w:t>
      </w:r>
    </w:p>
    <w:p>
      <w:pPr>
        <w:spacing w:after="0" w:line="27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62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6200" w:type="dxa"/>
            <w:vAlign w:val="bottom"/>
          </w:tcPr>
          <w:p>
            <w:pPr>
              <w:spacing w:after="0"/>
              <w:rPr>
                <w:sz w:val="16"/>
                <w:szCs w:val="16"/>
                <w:color w:val="auto"/>
              </w:rPr>
            </w:pPr>
          </w:p>
        </w:tc>
        <w:tc>
          <w:tcPr>
            <w:tcW w:w="14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66940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p>
      <w:pPr>
        <w:spacing w:after="0" w:line="46" w:lineRule="exact"/>
        <w:rPr>
          <w:sz w:val="20"/>
          <w:szCs w:val="20"/>
          <w:color w:val="auto"/>
        </w:rPr>
      </w:pPr>
    </w:p>
    <w:p>
      <w:pPr>
        <w:ind w:left="360" w:right="2080"/>
        <w:spacing w:after="0" w:line="353" w:lineRule="auto"/>
        <w:rPr>
          <w:sz w:val="20"/>
          <w:szCs w:val="20"/>
          <w:color w:val="auto"/>
        </w:rPr>
      </w:pPr>
      <w:r>
        <w:rPr>
          <w:rFonts w:ascii="Times New Roman" w:cs="Times New Roman" w:eastAsia="Times New Roman" w:hAnsi="Times New Roman"/>
          <w:sz w:val="17"/>
          <w:szCs w:val="17"/>
          <w:color w:val="auto"/>
        </w:rPr>
        <w:t>Selling, general and administrative expenses Research and development expenses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Revenue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are disaggregated as follow: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Major products/services lines: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34"/>
        </w:trPr>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20,895</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16,836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70"/>
        </w:trPr>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3,971</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2,220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7"/>
        </w:trPr>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24,866</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19,056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13,341</w:t>
            </w:r>
          </w:p>
        </w:tc>
      </w:tr>
      <w:tr>
        <w:trPr>
          <w:trHeight w:val="27"/>
        </w:trPr>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-213995</wp:posOffset>
            </wp:positionV>
            <wp:extent cx="6669405" cy="1974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666940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28460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r>
    </w:tbl>
    <w:p>
      <w:pPr>
        <w:spacing w:after="0" w:line="37" w:lineRule="exact"/>
        <w:rPr>
          <w:sz w:val="20"/>
          <w:szCs w:val="20"/>
          <w:color w:val="auto"/>
        </w:rPr>
      </w:pPr>
    </w:p>
    <w:p>
      <w:pPr>
        <w:sectPr>
          <w:pgSz w:w="11900" w:h="16838" w:orient="portrait"/>
          <w:cols w:equalWidth="0" w:num="2">
            <w:col w:w="5640" w:space="720"/>
            <w:col w:w="4500"/>
          </w:cols>
          <w:pgMar w:left="320" w:top="337" w:right="719" w:bottom="1440" w:gutter="0" w:footer="0" w:header="0"/>
          <w:type w:val="continuous"/>
        </w:sectPr>
      </w:pPr>
    </w:p>
    <w:tbl>
      <w:tblPr>
        <w:tblLayout w:type="fixed"/>
        <w:tblInd w:w="340" w:type="dxa"/>
        <w:tblCellMar>
          <w:top w:w="0" w:type="dxa"/>
          <w:left w:w="0" w:type="dxa"/>
          <w:bottom w:w="0" w:type="dxa"/>
          <w:right w:w="0" w:type="dxa"/>
        </w:tblCellMar>
      </w:tblP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of goods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467,403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611,245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703,093</w:t>
            </w: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Automotive computing platform</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385,886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536,582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627,067</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SoC Core Modules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70,140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73,944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74,910</w:t>
            </w: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Automotive merchandise and other products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11,377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719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1,116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license revenues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62,796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42,455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29,698</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117,830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115,067</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Automotive computing Platform – Design and development service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94,641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78,470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69,827</w:t>
            </w: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Connectivity service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31,142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34,112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36,834</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Other services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6,244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8,406</w:t>
            </w:r>
          </w:p>
        </w:tc>
        <w:tc>
          <w:tcPr>
            <w:tcW w:w="0" w:type="dxa"/>
            <w:vAlign w:val="bottom"/>
          </w:tcPr>
          <w:p>
            <w:pPr>
              <w:spacing w:after="0"/>
              <w:rPr>
                <w:sz w:val="1"/>
                <w:szCs w:val="1"/>
                <w:color w:val="auto"/>
              </w:rPr>
            </w:pP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662,226</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847,858</w:t>
            </w:r>
          </w:p>
        </w:tc>
        <w:tc>
          <w:tcPr>
            <w:tcW w:w="0" w:type="dxa"/>
            <w:vAlign w:val="bottom"/>
          </w:tcPr>
          <w:p>
            <w:pPr>
              <w:spacing w:after="0"/>
              <w:rPr>
                <w:sz w:val="1"/>
                <w:szCs w:val="1"/>
                <w:color w:val="auto"/>
              </w:rPr>
            </w:pPr>
          </w:p>
        </w:tc>
      </w:tr>
      <w:tr>
        <w:trPr>
          <w:trHeight w:val="21"/>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0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631,084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811,024</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662,226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771,530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847,858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2023, 2024 and 2025, 98.2%, 97.6% and 95.3% of the Group’s revenues were generated in the PRC.</w:t>
      </w:r>
    </w:p>
    <w:p>
      <w:pPr>
        <w:sectPr>
          <w:pgSz w:w="11900" w:h="16838" w:orient="portrait"/>
          <w:cols w:equalWidth="0" w:num="1">
            <w:col w:w="10860"/>
          </w:cols>
          <w:pgMar w:left="320" w:top="337"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type w:val="continuous"/>
        </w:sectPr>
      </w:pPr>
    </w:p>
    <w:bookmarkStart w:id="179" w:name="page180"/>
    <w:bookmarkEnd w:id="179"/>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Other non-operating (expenses) income,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non-operating (expenses) income, net consisted of the following:</w:t>
      </w:r>
    </w:p>
    <w:p>
      <w:pPr>
        <w:spacing w:after="0" w:line="27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41910</wp:posOffset>
            </wp:positionV>
            <wp:extent cx="41059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300" w:type="dxa"/>
            <w:vAlign w:val="bottom"/>
            <w:gridSpan w:val="2"/>
          </w:tcPr>
          <w:p>
            <w:pPr>
              <w:ind w:left="48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8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9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86"/>
        </w:trPr>
        <w:tc>
          <w:tcPr>
            <w:tcW w:w="3940" w:type="dxa"/>
            <w:vAlign w:val="bottom"/>
          </w:tcPr>
          <w:p>
            <w:pPr>
              <w:spacing w:after="0"/>
              <w:rPr>
                <w:sz w:val="16"/>
                <w:szCs w:val="16"/>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39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equity securities (Note 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 (Note 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3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assets (Note 9)</w:t>
            </w:r>
          </w:p>
        </w:tc>
        <w:tc>
          <w:tcPr>
            <w:tcW w:w="2180" w:type="dxa"/>
            <w:vAlign w:val="bottom"/>
            <w:tcBorders>
              <w:bottom w:val="single" w:sz="8" w:color="CCEEFF"/>
            </w:tcBorders>
            <w:gridSpan w:val="3"/>
            <w:shd w:val="clear" w:color="auto" w:fill="CCEEFF"/>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 (Note 16)</w:t>
            </w:r>
          </w:p>
        </w:tc>
        <w:tc>
          <w:tcPr>
            <w:tcW w:w="2180" w:type="dxa"/>
            <w:vAlign w:val="bottom"/>
            <w:gridSpan w:val="3"/>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3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7"/>
        </w:trPr>
        <w:tc>
          <w:tcPr>
            <w:tcW w:w="3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3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3"/>
            <w:shd w:val="clear" w:color="auto" w:fill="CCEEFF"/>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non-operating (expenses) income, net</w:t>
            </w:r>
          </w:p>
        </w:tc>
        <w:tc>
          <w:tcPr>
            <w:tcW w:w="1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10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(4,766)</w:t>
            </w:r>
          </w:p>
        </w:tc>
        <w:tc>
          <w:tcPr>
            <w:tcW w:w="80" w:type="dxa"/>
            <w:vAlign w:val="bottom"/>
            <w:tcBorders>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5,904</w:t>
            </w:r>
          </w:p>
        </w:tc>
      </w:tr>
      <w:tr>
        <w:trPr>
          <w:trHeight w:val="21"/>
        </w:trPr>
        <w:tc>
          <w:tcPr>
            <w:tcW w:w="3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right="200"/>
        <w:spacing w:after="0" w:line="250" w:lineRule="auto"/>
        <w:rPr>
          <w:sz w:val="20"/>
          <w:szCs w:val="20"/>
          <w:color w:val="auto"/>
        </w:rPr>
      </w:pPr>
      <w:r>
        <w:rPr>
          <w:rFonts w:ascii="Times New Roman" w:cs="Times New Roman" w:eastAsia="Times New Roman" w:hAnsi="Times New Roman"/>
          <w:sz w:val="18"/>
          <w:szCs w:val="18"/>
          <w:color w:val="auto"/>
        </w:rPr>
        <w:t>The Group received government grants of US$8,516, US$10,244 and US$13,611 during the years ended December 31, 2023, 2024 and 2025 respectively, and recognized US$1,672, US$2,798 and US$5,942 as non-operating (expenses) income, net in the Group’s consolidated statements of comprehensive loss for the years ended December 31, 2023, 2024 and 2025 respectively.</w:t>
      </w:r>
    </w:p>
    <w:p>
      <w:pPr>
        <w:spacing w:after="0" w:line="163"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There were no significant commitments, contingencies or provision for recapture conditions for the government subsidies received for the years ended December 31, 2023, 2024 and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2025, deferred government grants are recorded as follow:</w:t>
      </w:r>
    </w:p>
    <w:p>
      <w:pPr>
        <w:spacing w:after="0" w:line="27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41910</wp:posOffset>
            </wp:positionV>
            <wp:extent cx="27260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460" w:type="dxa"/>
            <w:vAlign w:val="bottom"/>
            <w:gridSpan w:val="2"/>
          </w:tcPr>
          <w:p>
            <w:pPr>
              <w:ind w:left="7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50"/>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325"/>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third parties</w:t>
            </w:r>
            <w:r>
              <w:rPr>
                <w:rFonts w:ascii="Times New Roman" w:cs="Times New Roman" w:eastAsia="Times New Roman" w:hAnsi="Times New Roman"/>
                <w:sz w:val="23"/>
                <w:szCs w:val="23"/>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w:t>
            </w:r>
          </w:p>
        </w:tc>
      </w:tr>
    </w:tbl>
    <w:p>
      <w:pPr>
        <w:spacing w:after="0" w:line="260" w:lineRule="exact"/>
        <w:rPr>
          <w:sz w:val="20"/>
          <w:szCs w:val="20"/>
          <w:color w:val="auto"/>
        </w:rPr>
      </w:pPr>
    </w:p>
    <w:p>
      <w:pPr>
        <w:jc w:val="both"/>
        <w:ind w:left="340" w:hanging="8"/>
        <w:spacing w:after="0" w:line="230" w:lineRule="auto"/>
        <w:tabs>
          <w:tab w:leader="none" w:pos="418" w:val="left"/>
        </w:tabs>
        <w:numPr>
          <w:ilvl w:val="0"/>
          <w:numId w:val="101"/>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The Group was awarded grants from governments and conditional on the tax contribution in certain specified regions in the next few years. The government grants have been received and recognized as other non-current liabilities – third parties, which will be released to government grants in the consolidated statements of comprehensive loss when the conditions attached for tax contribution are satisfied. As of December 31, 2024 and 2025, the Group estimated that the conditions attached for tax contribution would be not probable to be satisfied, thus the Group classifies these liabilities as other non-current liabilities – third parties.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80" w:name="page181"/>
    <w:bookmarkEnd w:id="180"/>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income or capital gains taxes. Additionally, the Cayman Islands does not impose a withholding tax on payments of dividends to shareholders.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current laws of the British Virgin Islands (“BVI”), the Company’s BVI subsidiaries are not subject to income or capital gains taxes.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the British Virgin Islands does not impose a withholding tax on payments of dividends to shareholders.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Our subsidiaries incorporated in Hong Kong are generally subject to Hong Kong profits tax at a rate of 16.5%. For the years 2018 and onwards, the first HK$2,000 of profits generated by an entity incorporated in Hong Kong is taxed at a rate of 8.25%, while the remaining profits will continue to be taxed at 16.5% tax rate. In December 2022, a refined Foreign Sourced Income Exemption (“FSIE”) regime was published in Hong Kong and took effect from January 1, 2023. Under the new FSIE regime, certain foreign soured income would be deemed as being sourced from Hong Kong and chargeable to Hong Kong Profits Tax, if the recipient entity fails to meet the prescribed exception requirements. Certain dividends, interests, intellectual property income and disposal gains, if any, received by us and our Hong Kong subsidiaries may be subject to the new tax regime.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Mainland PRC</w:t>
      </w:r>
    </w:p>
    <w:p>
      <w:pPr>
        <w:spacing w:after="0" w:line="227" w:lineRule="exact"/>
        <w:rPr>
          <w:sz w:val="20"/>
          <w:szCs w:val="20"/>
          <w:color w:val="auto"/>
        </w:rPr>
      </w:pPr>
    </w:p>
    <w:p>
      <w:pPr>
        <w:ind w:left="340"/>
        <w:spacing w:after="0" w:line="312" w:lineRule="auto"/>
        <w:rPr>
          <w:sz w:val="20"/>
          <w:szCs w:val="20"/>
          <w:color w:val="auto"/>
        </w:rPr>
      </w:pPr>
      <w:r>
        <w:rPr>
          <w:rFonts w:ascii="Times New Roman" w:cs="Times New Roman" w:eastAsia="Times New Roman" w:hAnsi="Times New Roman"/>
          <w:sz w:val="17"/>
          <w:szCs w:val="17"/>
          <w:color w:val="auto"/>
        </w:rPr>
        <w:t>Under the Enterprise Income Tax Law (“EIT Law”) in mainland PRC, domestic companies are subject to Enterprise Income Tax (“EIT”) at a uniform rate of 25%. The Company’s PRC subsidiaries are subject to the statutory income tax rate at 25%, unless a preferential EIT rate is otherwise stipulated.</w:t>
      </w:r>
    </w:p>
    <w:p>
      <w:pPr>
        <w:spacing w:after="0" w:line="126"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The enterprise income tax rate will be reduced to 15% for state-encouraged High and New Technology Enterprises (“HNTE”). In December 2023, ECARX (Hubei) Tech was certified as an HNTE by the Hubei provincial government for a period from 2023 to 2025 if all the criteria for HNTE status is satisfied in the relevant year.</w:t>
      </w:r>
    </w:p>
    <w:p>
      <w:pPr>
        <w:spacing w:after="0" w:line="190"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In December 2024, JICA is certified as an HNTE by the Jiangsu provincial government for a period of 3 years from 2024 to 2026 if all the criteria for HNTE status is satisfied in the relevant year.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81" w:name="page182"/>
    <w:bookmarkEnd w:id="181"/>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w:t>
      </w:r>
    </w:p>
    <w:p>
      <w:pPr>
        <w:spacing w:after="0" w:line="273"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Mainland PRC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(29,438)</w:t>
            </w:r>
          </w:p>
        </w:tc>
      </w:tr>
      <w:tr>
        <w:trPr>
          <w:trHeight w:val="27"/>
        </w:trPr>
        <w:tc>
          <w:tcPr>
            <w:tcW w:w="6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(144,424)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(137,541)</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(67,695)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pacing w:after="0" w:line="227"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Dividends paid to non-PRC-resident corporate investor from profits earned by the PRC subsidiaries are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w:t>
      </w:r>
    </w:p>
    <w:p>
      <w:pPr>
        <w:spacing w:after="0" w:line="176" w:lineRule="exact"/>
        <w:rPr>
          <w:sz w:val="20"/>
          <w:szCs w:val="20"/>
          <w:color w:val="auto"/>
        </w:rPr>
      </w:pPr>
    </w:p>
    <w:p>
      <w:pPr>
        <w:ind w:left="332" w:right="200"/>
        <w:spacing w:after="0" w:line="282" w:lineRule="auto"/>
        <w:rPr>
          <w:sz w:val="20"/>
          <w:szCs w:val="20"/>
          <w:color w:val="auto"/>
        </w:rPr>
      </w:pPr>
      <w:r>
        <w:rPr>
          <w:rFonts w:ascii="Times New Roman" w:cs="Times New Roman" w:eastAsia="Times New Roman" w:hAnsi="Times New Roman"/>
          <w:sz w:val="18"/>
          <w:szCs w:val="18"/>
          <w:color w:val="auto"/>
        </w:rPr>
        <w:t>The Company’s subsidiaries located in the PRC were in accumulated loss status as of December 31, 2023, 2024 and 2025. Accordingly, no deferred tax liability had been accrued for the Chinese dividend withholding taxes as of December 31, 2024 and 2025.</w:t>
      </w:r>
    </w:p>
    <w:p>
      <w:pPr>
        <w:spacing w:after="0" w:line="162" w:lineRule="exact"/>
        <w:rPr>
          <w:sz w:val="20"/>
          <w:szCs w:val="20"/>
          <w:color w:val="auto"/>
        </w:rPr>
      </w:pPr>
    </w:p>
    <w:p>
      <w:pPr>
        <w:ind w:left="332" w:right="820"/>
        <w:spacing w:after="0" w:line="282" w:lineRule="auto"/>
        <w:rPr>
          <w:sz w:val="20"/>
          <w:szCs w:val="20"/>
          <w:color w:val="auto"/>
        </w:rPr>
      </w:pPr>
      <w:r>
        <w:rPr>
          <w:rFonts w:ascii="Times New Roman" w:cs="Times New Roman" w:eastAsia="Times New Roman" w:hAnsi="Times New Roman"/>
          <w:sz w:val="18"/>
          <w:szCs w:val="18"/>
          <w:color w:val="auto"/>
        </w:rPr>
        <w:t>The Group does not file combined or consolidated tax returns, therefore, losses from individual subsidiaries may not be used to offset other subsidiaries’ earnings within the Group.</w:t>
      </w:r>
    </w:p>
    <w:p>
      <w:pPr>
        <w:spacing w:after="0" w:line="162" w:lineRule="exact"/>
        <w:rPr>
          <w:sz w:val="20"/>
          <w:szCs w:val="20"/>
          <w:color w:val="auto"/>
        </w:rPr>
      </w:pPr>
    </w:p>
    <w:p>
      <w:pPr>
        <w:ind w:left="312" w:hanging="312"/>
        <w:spacing w:after="0"/>
        <w:tabs>
          <w:tab w:leader="none" w:pos="3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Income taxes benefit (expense)</w:t>
      </w:r>
    </w:p>
    <w:p>
      <w:pPr>
        <w:spacing w:after="0" w:line="22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recognized in the consolidated statements of comprehensive loss consisted of the following:</w:t>
      </w:r>
    </w:p>
    <w:p>
      <w:pPr>
        <w:spacing w:after="0" w:line="273" w:lineRule="exact"/>
        <w:rPr>
          <w:sz w:val="20"/>
          <w:szCs w:val="20"/>
          <w:color w:val="auto"/>
        </w:rPr>
      </w:pPr>
    </w:p>
    <w:p>
      <w:pPr>
        <w:ind w:left="7812"/>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41910</wp:posOffset>
            </wp:positionV>
            <wp:extent cx="28460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2"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692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benefit (expense)</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Mainland PRC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income tax benefit (expense)</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(2,741)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benefit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Mainland PRC</w:t>
            </w:r>
          </w:p>
        </w:tc>
        <w:tc>
          <w:tcPr>
            <w:tcW w:w="148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benefit</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r>
      <w:tr>
        <w:trPr>
          <w:trHeight w:val="27"/>
        </w:trPr>
        <w:tc>
          <w:tcPr>
            <w:tcW w:w="60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72"/>
          </w:cols>
          <w:pgMar w:left="328" w:top="337"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337" w:right="399" w:bottom="1440" w:gutter="0" w:footer="0" w:header="0"/>
          <w:type w:val="continuous"/>
        </w:sectPr>
      </w:pPr>
    </w:p>
    <w:bookmarkStart w:id="182" w:name="page183"/>
    <w:bookmarkEnd w:id="182"/>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2" w:hanging="312"/>
        <w:spacing w:after="0"/>
        <w:tabs>
          <w:tab w:leader="none" w:pos="3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reconciliation</w:t>
      </w:r>
    </w:p>
    <w:p>
      <w:pPr>
        <w:spacing w:after="0" w:line="225" w:lineRule="exact"/>
        <w:rPr>
          <w:rFonts w:ascii="Times New Roman" w:cs="Times New Roman" w:eastAsia="Times New Roman" w:hAnsi="Times New Roman"/>
          <w:sz w:val="18"/>
          <w:szCs w:val="18"/>
          <w:color w:val="auto"/>
        </w:rPr>
      </w:pPr>
    </w:p>
    <w:p>
      <w:pPr>
        <w:ind w:left="332"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provision for income taxes to the amount computed by applying the 25% statutory PRC corporate income tax rate to income before income taxes after the adoption of ASU 2023-09 is as follows:</w:t>
      </w:r>
    </w:p>
    <w:p>
      <w:pPr>
        <w:spacing w:after="0" w:line="209"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52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7"/>
        </w:trPr>
        <w:tc>
          <w:tcPr>
            <w:tcW w:w="606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6060" w:type="dxa"/>
            <w:vAlign w:val="bottom"/>
          </w:tcPr>
          <w:p>
            <w:pPr>
              <w:spacing w:after="0"/>
              <w:rPr>
                <w:sz w:val="16"/>
                <w:szCs w:val="16"/>
                <w:color w:val="auto"/>
              </w:rPr>
            </w:pPr>
          </w:p>
        </w:tc>
        <w:tc>
          <w:tcPr>
            <w:tcW w:w="15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6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calculated at the statutory tax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 and non-taxable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additional deduction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preferential tax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return-to-provision true up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rate differential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rate differential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rate differential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Non-taxable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rate differential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tax jurisdictions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rates for the years ended December 31, 2023, and 2024 are as follows:</w:t>
      </w:r>
    </w:p>
    <w:p>
      <w:pPr>
        <w:spacing w:after="0" w:line="209" w:lineRule="exact"/>
        <w:rPr>
          <w:sz w:val="20"/>
          <w:szCs w:val="20"/>
          <w:color w:val="auto"/>
        </w:rPr>
      </w:pPr>
    </w:p>
    <w:p>
      <w:pPr>
        <w:ind w:left="7052"/>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41910</wp:posOffset>
            </wp:positionV>
            <wp:extent cx="18942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62"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6880" w:type="dxa"/>
            <w:vAlign w:val="bottom"/>
            <w:gridSpan w:val="2"/>
          </w:tcPr>
          <w:p>
            <w:pPr>
              <w:ind w:left="660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Computed expected income tax benefit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preferential tax rate</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different tax jurisdiction</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rate</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return-to-provision true up</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 and non-taxable income</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additional deduction</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Actual income tax expense</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92"/>
          </w:cols>
          <w:pgMar w:left="328" w:top="337" w:right="4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337" w:right="479" w:bottom="1440" w:gutter="0" w:footer="0" w:header="0"/>
          <w:type w:val="continuous"/>
        </w:sectPr>
      </w:pPr>
    </w:p>
    <w:bookmarkStart w:id="183" w:name="page184"/>
    <w:bookmarkEnd w:id="183"/>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In the case of transfer pricing issues, the statute of limitation is 10 years. There is no statute of limitation in the case of tax evasion. The income tax returns of the Company’s PRC subsidiaries for the years from 2020 to 2025 are open to examination by the PRC tax authorities.</w:t>
      </w:r>
    </w:p>
    <w:p>
      <w:pPr>
        <w:spacing w:after="0" w:line="183" w:lineRule="exact"/>
        <w:rPr>
          <w:sz w:val="20"/>
          <w:szCs w:val="20"/>
          <w:color w:val="auto"/>
        </w:rPr>
      </w:pPr>
    </w:p>
    <w:p>
      <w:pPr>
        <w:ind w:left="312" w:hanging="312"/>
        <w:spacing w:after="0"/>
        <w:tabs>
          <w:tab w:leader="none" w:pos="3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w:t>
      </w:r>
    </w:p>
    <w:p>
      <w:pPr>
        <w:spacing w:after="0" w:line="117"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components of the deferred tax assets and liabilities are as follows:</w:t>
      </w:r>
    </w:p>
    <w:p>
      <w:pPr>
        <w:spacing w:after="0" w:line="273"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property and equipment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warranties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investment loss of equity method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84,889</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126,160</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(119,072)</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7,088</w:t>
            </w:r>
          </w:p>
        </w:tc>
      </w:tr>
      <w:tr>
        <w:trPr>
          <w:trHeight w:val="236"/>
        </w:trPr>
        <w:tc>
          <w:tcPr>
            <w:tcW w:w="75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plant, property, and equipment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investment gain of equity method investments</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(8,777)</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Analyzed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right="540"/>
        <w:spacing w:after="0" w:line="353" w:lineRule="auto"/>
        <w:rPr>
          <w:sz w:val="20"/>
          <w:szCs w:val="20"/>
          <w:color w:val="auto"/>
        </w:rPr>
      </w:pPr>
      <w:r>
        <w:rPr>
          <w:rFonts w:ascii="Times New Roman" w:cs="Times New Roman" w:eastAsia="Times New Roman" w:hAnsi="Times New Roman"/>
          <w:sz w:val="17"/>
          <w:szCs w:val="17"/>
          <w:color w:val="auto"/>
        </w:rPr>
        <w:t>Deferred tax assets Deferred tax liabilities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Net deferred tax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41910</wp:posOffset>
            </wp:positionV>
            <wp:extent cx="24428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62" w:lineRule="exact"/>
        <w:rPr>
          <w:sz w:val="20"/>
          <w:szCs w:val="20"/>
          <w:color w:val="auto"/>
        </w:rPr>
      </w:pPr>
    </w:p>
    <w:p>
      <w:pPr>
        <w:ind w:left="1860"/>
        <w:spacing w:after="0"/>
        <w:tabs>
          <w:tab w:leader="none" w:pos="3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41910</wp:posOffset>
            </wp:positionV>
            <wp:extent cx="24428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62" w:lineRule="exact"/>
        <w:rPr>
          <w:sz w:val="20"/>
          <w:szCs w:val="20"/>
          <w:color w:val="auto"/>
        </w:rPr>
      </w:pPr>
    </w:p>
    <w:p>
      <w:pPr>
        <w:ind w:left="1880"/>
        <w:spacing w:after="0"/>
        <w:tabs>
          <w:tab w:leader="none" w:pos="382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41910</wp:posOffset>
            </wp:positionV>
            <wp:extent cx="488632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4886325" cy="171450"/>
                    </a:xfrm>
                    <a:prstGeom prst="rect">
                      <a:avLst/>
                    </a:prstGeom>
                    <a:noFill/>
                  </pic:spPr>
                </pic:pic>
              </a:graphicData>
            </a:graphic>
          </wp:anchor>
        </w:drawing>
      </w:r>
    </w:p>
    <w:p>
      <w:pPr>
        <w:spacing w:after="0" w:line="55" w:lineRule="exact"/>
        <w:rPr>
          <w:sz w:val="20"/>
          <w:szCs w:val="20"/>
          <w:color w:val="auto"/>
        </w:rPr>
      </w:pPr>
    </w:p>
    <w:p>
      <w:pPr>
        <w:ind w:left="2800"/>
        <w:spacing w:after="0"/>
        <w:tabs>
          <w:tab w:leader="none" w:pos="45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2500"/>
        <w:spacing w:after="0"/>
        <w:tabs>
          <w:tab w:leader="none" w:pos="4240" w:val="left"/>
        </w:tabs>
        <w:rPr>
          <w:sz w:val="20"/>
          <w:szCs w:val="20"/>
          <w:color w:val="auto"/>
        </w:rPr>
      </w:pPr>
      <w:r>
        <w:rPr>
          <w:rFonts w:ascii="Times New Roman" w:cs="Times New Roman" w:eastAsia="Times New Roman" w:hAnsi="Times New Roman"/>
          <w:sz w:val="18"/>
          <w:szCs w:val="18"/>
          <w:color w:val="auto"/>
        </w:rPr>
        <w:t>(2,070)</w:t>
      </w:r>
      <w:r>
        <w:rPr>
          <w:sz w:val="20"/>
          <w:szCs w:val="20"/>
          <w:color w:val="auto"/>
        </w:rPr>
        <w:tab/>
      </w:r>
      <w:r>
        <w:rPr>
          <w:rFonts w:ascii="Times New Roman" w:cs="Times New Roman" w:eastAsia="Times New Roman" w:hAnsi="Times New Roman"/>
          <w:sz w:val="18"/>
          <w:szCs w:val="18"/>
          <w:color w:val="auto"/>
        </w:rPr>
        <w:t>(1,700)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34290</wp:posOffset>
            </wp:positionV>
            <wp:extent cx="4886325"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4886325" cy="197485"/>
                    </a:xfrm>
                    <a:prstGeom prst="rect">
                      <a:avLst/>
                    </a:prstGeom>
                    <a:noFill/>
                  </pic:spPr>
                </pic:pic>
              </a:graphicData>
            </a:graphic>
          </wp:anchor>
        </w:drawing>
      </w:r>
    </w:p>
    <w:p>
      <w:pPr>
        <w:spacing w:after="0" w:line="53" w:lineRule="exact"/>
        <w:rPr>
          <w:sz w:val="20"/>
          <w:szCs w:val="20"/>
          <w:color w:val="auto"/>
        </w:rPr>
      </w:pPr>
    </w:p>
    <w:p>
      <w:pPr>
        <w:ind w:left="250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(2,056)</w:t>
      </w:r>
      <w:r>
        <w:rPr>
          <w:sz w:val="20"/>
          <w:szCs w:val="20"/>
          <w:color w:val="auto"/>
        </w:rPr>
        <w:tab/>
      </w:r>
      <w:r>
        <w:rPr>
          <w:rFonts w:ascii="Times New Roman" w:cs="Times New Roman" w:eastAsia="Times New Roman" w:hAnsi="Times New Roman"/>
          <w:sz w:val="18"/>
          <w:szCs w:val="18"/>
          <w:b w:val="1"/>
          <w:bCs w:val="1"/>
          <w:color w:val="auto"/>
        </w:rPr>
        <w:t>(1,689)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62865</wp:posOffset>
            </wp:positionV>
            <wp:extent cx="24428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240" w:space="720"/>
            <w:col w:w="7980"/>
          </w:cols>
          <w:pgMar w:left="580" w:top="337" w:right="379" w:bottom="1440" w:gutter="0" w:footer="0" w:header="0"/>
        </w:sectPr>
      </w:pP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presents the movement of the valuation allowance for the deferred tax assets:</w:t>
      </w:r>
    </w:p>
    <w:p>
      <w:pPr>
        <w:spacing w:after="0" w:line="27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41910</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88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77,874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102,576</w:t>
            </w:r>
          </w:p>
        </w:tc>
      </w:tr>
      <w:tr>
        <w:trPr>
          <w:trHeight w:val="24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during the year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r>
      <w:tr>
        <w:trPr>
          <w:trHeight w:val="27"/>
        </w:trPr>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(2,462)</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81,830</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102,576</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119,072</w:t>
            </w:r>
          </w:p>
        </w:tc>
      </w:tr>
      <w:tr>
        <w:trPr>
          <w:trHeight w:val="21"/>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Deferred tax assets are included in other non-current assets – third parties on consolidated balance sheets.</w:t>
      </w:r>
    </w:p>
    <w:p>
      <w:pPr>
        <w:spacing w:after="0" w:line="225" w:lineRule="exact"/>
        <w:rPr>
          <w:sz w:val="20"/>
          <w:szCs w:val="20"/>
          <w:color w:val="auto"/>
        </w:rPr>
      </w:pPr>
    </w:p>
    <w:p>
      <w:pPr>
        <w:ind w:left="80" w:right="60"/>
        <w:spacing w:after="0" w:line="266" w:lineRule="auto"/>
        <w:rPr>
          <w:sz w:val="20"/>
          <w:szCs w:val="20"/>
          <w:color w:val="auto"/>
        </w:rPr>
      </w:pPr>
      <w:r>
        <w:rPr>
          <w:rFonts w:ascii="Times New Roman" w:cs="Times New Roman" w:eastAsia="Times New Roman" w:hAnsi="Times New Roman"/>
          <w:sz w:val="18"/>
          <w:szCs w:val="18"/>
          <w:color w:val="auto"/>
        </w:rPr>
        <w:t>Net operating loss carryforwards of the Company’s subsidiaries in jurisdictions other than the PRC do not expire. As of December 31, 2024 and 2025, the balance of net operating loss carryforwards of the Company’s subsidiaries in jurisdictions other than the PRC amounted to US$85,405 and US$117,246, respectively.</w:t>
      </w:r>
    </w:p>
    <w:p>
      <w:pPr>
        <w:spacing w:after="0" w:line="176" w:lineRule="exact"/>
        <w:rPr>
          <w:sz w:val="20"/>
          <w:szCs w:val="20"/>
          <w:color w:val="auto"/>
        </w:rPr>
      </w:pPr>
    </w:p>
    <w:p>
      <w:pPr>
        <w:ind w:left="80"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the net operating loss carryforwards by the PRC companies will expire during the period from year 2026 to year 2035, if unused by the following year-end:</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8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8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102,601</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67,322</w:t>
            </w:r>
          </w:p>
        </w:tc>
      </w:tr>
      <w:tr>
        <w:trPr>
          <w:trHeight w:val="27"/>
        </w:trPr>
        <w:tc>
          <w:tcPr>
            <w:tcW w:w="8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125,973</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61,155</w:t>
            </w:r>
          </w:p>
        </w:tc>
      </w:tr>
      <w:tr>
        <w:trPr>
          <w:trHeight w:val="27"/>
        </w:trPr>
        <w:tc>
          <w:tcPr>
            <w:tcW w:w="8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388,979</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0"/>
        <w:spacing w:after="0" w:line="245" w:lineRule="auto"/>
        <w:rPr>
          <w:sz w:val="20"/>
          <w:szCs w:val="20"/>
          <w:color w:val="auto"/>
        </w:rPr>
      </w:pPr>
      <w:r>
        <w:rPr>
          <w:rFonts w:ascii="Times New Roman" w:cs="Times New Roman" w:eastAsia="Times New Roman" w:hAnsi="Times New Roman"/>
          <w:sz w:val="18"/>
          <w:szCs w:val="18"/>
          <w:color w:val="auto"/>
        </w:rPr>
        <w:t>The recoverability of these net operating loss carryforwards is evaluated by assessing the adequacy of future expected taxable income from all sources, including reversal of taxable temporary differences, forecasted operating earnings and available tax planning strategies. To the extent the Company does not consider it more-likely-than-not that a deferred tax asset will be recovered, a valuation allowance is generally established. To the extent that a valuation allowance was established, and it is subsequently determined that it is more-likely-than-not that the deferred tax assets will be</w:t>
      </w:r>
    </w:p>
    <w:p>
      <w:pPr>
        <w:sectPr>
          <w:pgSz w:w="11900" w:h="16838" w:orient="portrait"/>
          <w:cols w:equalWidth="0" w:num="1">
            <w:col w:w="10940"/>
          </w:cols>
          <w:pgMar w:left="580" w:top="337" w:right="37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80645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80" w:top="337" w:right="379" w:bottom="1440" w:gutter="0" w:footer="0" w:header="0"/>
          <w:type w:val="continuous"/>
        </w:sectPr>
      </w:pPr>
    </w:p>
    <w:bookmarkStart w:id="185" w:name="page186"/>
    <w:bookmarkEnd w:id="185"/>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recovered, the change in the valuation allowance is recognized in income tax (expense)/benefit on the consolidated statements of comprehensive loss.</w:t>
      </w:r>
    </w:p>
    <w:p>
      <w:pPr>
        <w:spacing w:after="0" w:line="225"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2025, the valuation allowances were related to the deferred income tax assets of subsidiaries of the Company which were in loss position. These entities were in a cumulative loss position, which is a significant negative indicator to overcome that sufficient income will be generated over the periods in which the deferred income tax assets are deductible or utilized. Management considers the scheduled reversal of deferred income tax liabilities, projected future taxable income and tax planning strategies in making this assessment.</w:t>
      </w:r>
    </w:p>
    <w:p>
      <w:pPr>
        <w:spacing w:after="0" w:line="180" w:lineRule="exact"/>
        <w:rPr>
          <w:sz w:val="20"/>
          <w:szCs w:val="20"/>
          <w:color w:val="auto"/>
        </w:rPr>
      </w:pPr>
    </w:p>
    <w:p>
      <w:pPr>
        <w:ind w:left="400" w:hanging="392"/>
        <w:spacing w:after="0"/>
        <w:tabs>
          <w:tab w:leader="none" w:pos="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of cash income taxes paid by the Company during the year ended December 31, 2025 are as follows: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1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7"/>
        </w:trPr>
        <w:tc>
          <w:tcPr>
            <w:tcW w:w="44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86"/>
        </w:trPr>
        <w:tc>
          <w:tcPr>
            <w:tcW w:w="4460" w:type="dxa"/>
            <w:vAlign w:val="bottom"/>
          </w:tcPr>
          <w:p>
            <w:pPr>
              <w:spacing w:after="0"/>
              <w:rPr>
                <w:sz w:val="16"/>
                <w:szCs w:val="16"/>
                <w:color w:val="auto"/>
              </w:rPr>
            </w:pPr>
          </w:p>
        </w:tc>
        <w:tc>
          <w:tcPr>
            <w:tcW w:w="210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44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Mainland PRC</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4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446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 net of amounts refunded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for the years ended December 2023, 2024 and 2025 have been calculated as follows: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ECARX Holdings Inc.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(129,765)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337,407,225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336,641,846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338,659,826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ordinary shareholders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Basic and diluted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potentially dilutive instruments that have not been included in the calculation of diluted loss per share as their inclusion would be anti-dilutive are as follows: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23,871,971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23,871,971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23,871,971</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11,260,718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15,935,056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22,631,543</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147,396</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5,652,174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5,652,174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11,640,584</w:t>
            </w:r>
          </w:p>
        </w:tc>
      </w:tr>
    </w:tbl>
    <w:p>
      <w:pPr>
        <w:spacing w:after="0" w:line="200" w:lineRule="exact"/>
        <w:rPr>
          <w:sz w:val="20"/>
          <w:szCs w:val="20"/>
          <w:color w:val="auto"/>
        </w:rPr>
      </w:pP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86" w:name="page187"/>
    <w:bookmarkEnd w:id="186"/>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63"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unvested PSUs of 792,000 shares are not included in the calculation of basic or diluted loss per share, as the issuance of such shares is contingent upon qualifying conditions, which was not satisfied as of the year end.</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Risks and concentration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73"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principally of cash, restricted cash, short-term investments, accounts receivables, notes receivable, amounts due from related parties and other receivables included in prepayments and other current assets.</w:t>
      </w:r>
    </w:p>
    <w:p>
      <w:pPr>
        <w:spacing w:after="0" w:line="176"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The Group’s policy requires cash, restricted cash and short-term investments to be placed with high quality financial institutions. The Group regularly evaluates the credit standing of the counterparties or financial institutions.</w:t>
      </w:r>
    </w:p>
    <w:p>
      <w:pPr>
        <w:spacing w:after="0" w:line="162"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The Group conducts credit evaluations on its customers prior to delivery of goods or services. The assessment of customer creditworthiness is primarily based on historical collection records, research of publicly available information and customer on site visits by senior management. Based on this analysis, the Group determines what credit terms, if any, to offer to each customer individually. If the assessment indicates a likelihood of collection risk, the Group will not deliver the services or sell the products to the customer or require the customer to pay cash to secure payment or to make significant down payments.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173"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Group currently has a concentrated customer base with a limited number of key customers, particularly Geely Group and its subsidiaries. Geely Group and its subsidiaries represents 83.3% and 69.7% of the Group’s accounts receivable - related parties, net, as of December 31, 2024 and 2025, respectively. During the years ended December 31, 2023, 2024 and 2025, Geely Group and its subsidiaries contributed 78.5%, 81.8% and 68.1% of the Group’s total related parties and third parties’ revenues, respectively, which excluded the sales of SoC core modules or software licenses by the Group to its third-party customers that were integrated into infotainment and cockpit products and sold by such third-party customers to Geely Group and its subsidiaries.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customers with greater than 10.0% of the accounts receivable - third parties, net:</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7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a third party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a third party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a third party</w:t>
            </w:r>
          </w:p>
        </w:tc>
        <w:tc>
          <w:tcPr>
            <w:tcW w:w="24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Less than 10.0%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suppliers with greater than 10.0% of the total related parties and third parties’ accounts payable:</w:t>
      </w:r>
    </w:p>
    <w:p>
      <w:pPr>
        <w:spacing w:after="0" w:line="27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41910</wp:posOffset>
            </wp:positionV>
            <wp:extent cx="22885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20" w:type="dxa"/>
            <w:vAlign w:val="bottom"/>
          </w:tcPr>
          <w:p>
            <w:pPr>
              <w:spacing w:after="0"/>
              <w:rPr>
                <w:sz w:val="16"/>
                <w:szCs w:val="16"/>
                <w:color w:val="auto"/>
              </w:rPr>
            </w:pPr>
          </w:p>
        </w:tc>
      </w:tr>
      <w:tr>
        <w:trPr>
          <w:trHeight w:val="37"/>
        </w:trPr>
        <w:tc>
          <w:tcPr>
            <w:tcW w:w="340" w:type="dxa"/>
            <w:vAlign w:val="bottom"/>
          </w:tcPr>
          <w:p>
            <w:pPr>
              <w:spacing w:after="0"/>
              <w:rPr>
                <w:sz w:val="3"/>
                <w:szCs w:val="3"/>
                <w:color w:val="auto"/>
              </w:rPr>
            </w:pPr>
          </w:p>
        </w:tc>
        <w:tc>
          <w:tcPr>
            <w:tcW w:w="51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120" w:type="dxa"/>
            <w:vAlign w:val="bottom"/>
          </w:tcPr>
          <w:p>
            <w:pPr>
              <w:spacing w:after="0"/>
              <w:rPr>
                <w:sz w:val="3"/>
                <w:szCs w:val="3"/>
                <w:color w:val="auto"/>
              </w:rPr>
            </w:pPr>
          </w:p>
        </w:tc>
      </w:tr>
      <w:tr>
        <w:trPr>
          <w:trHeight w:val="243"/>
        </w:trPr>
        <w:tc>
          <w:tcPr>
            <w:tcW w:w="34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 a third party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 a third party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80" w:type="dxa"/>
            <w:vAlign w:val="bottom"/>
          </w:tcPr>
          <w:p>
            <w:pPr>
              <w:spacing w:after="0"/>
              <w:rPr>
                <w:sz w:val="21"/>
                <w:szCs w:val="21"/>
                <w:color w:val="auto"/>
              </w:rPr>
            </w:pPr>
          </w:p>
        </w:tc>
        <w:tc>
          <w:tcPr>
            <w:tcW w:w="388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Less than 10.0%</w:t>
            </w:r>
          </w:p>
        </w:tc>
      </w:tr>
      <w:tr>
        <w:trPr>
          <w:trHeight w:val="27"/>
        </w:trPr>
        <w:tc>
          <w:tcPr>
            <w:tcW w:w="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D, a third party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120" w:type="dxa"/>
            <w:vAlign w:val="bottom"/>
          </w:tcPr>
          <w:p>
            <w:pPr>
              <w:spacing w:after="0"/>
              <w:rPr>
                <w:sz w:val="21"/>
                <w:szCs w:val="21"/>
                <w:color w:val="auto"/>
              </w:rPr>
            </w:pPr>
          </w:p>
        </w:tc>
      </w:tr>
      <w:tr>
        <w:trPr>
          <w:trHeight w:val="904"/>
        </w:trPr>
        <w:tc>
          <w:tcPr>
            <w:tcW w:w="340" w:type="dxa"/>
            <w:vAlign w:val="bottom"/>
          </w:tcPr>
          <w:p>
            <w:pPr>
              <w:spacing w:after="0"/>
              <w:rPr>
                <w:sz w:val="24"/>
                <w:szCs w:val="24"/>
                <w:color w:val="auto"/>
              </w:rPr>
            </w:pPr>
          </w:p>
        </w:tc>
        <w:tc>
          <w:tcPr>
            <w:tcW w:w="630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F-57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Suppliers accounting for more than 10.0% of total related parties and third parties’ purchases are as follows: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7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7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7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 a third party</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B, a third party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 than 10.0%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 a third party</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Less than 10.0%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than 10.0%</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D, a third party</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Less than 10.0%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Fair value measurement</w:t>
      </w:r>
    </w:p>
    <w:p>
      <w:pPr>
        <w:spacing w:after="0" w:line="25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derivative assets, equity securities, available-for-sale debt investments, warrant liabilities and derivative liability.</w:t>
      </w:r>
    </w:p>
    <w:p>
      <w:pPr>
        <w:spacing w:after="0" w:line="189"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The following tables set the major financial instruments measured at fair value, by level within the fair value hierarchy as of December 31, 2024 and 2025.</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7"/>
        </w:trPr>
        <w:tc>
          <w:tcPr>
            <w:tcW w:w="2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58"/>
        </w:trPr>
        <w:tc>
          <w:tcPr>
            <w:tcW w:w="2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9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 Observable</w:t>
            </w:r>
          </w:p>
        </w:tc>
        <w:tc>
          <w:tcPr>
            <w:tcW w:w="1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r>
      <w:tr>
        <w:trPr>
          <w:trHeight w:val="162"/>
        </w:trPr>
        <w:tc>
          <w:tcPr>
            <w:tcW w:w="28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4"/>
        </w:trPr>
        <w:tc>
          <w:tcPr>
            <w:tcW w:w="28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28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86"/>
        </w:trPr>
        <w:tc>
          <w:tcPr>
            <w:tcW w:w="28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2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 Assets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2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net –derivative asset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 net – equity</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4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 net –</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42,833</w:t>
            </w:r>
          </w:p>
        </w:tc>
        <w:tc>
          <w:tcPr>
            <w:tcW w:w="10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42,833</w:t>
            </w: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 derivative liability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7"/>
        </w:trPr>
        <w:tc>
          <w:tcPr>
            <w:tcW w:w="28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 Observable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 net – equity</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254" w:lineRule="exact"/>
        <w:rPr>
          <w:sz w:val="20"/>
          <w:szCs w:val="20"/>
          <w:color w:val="auto"/>
        </w:rPr>
      </w:pPr>
    </w:p>
    <w:p>
      <w:pPr>
        <w:ind w:left="80" w:right="20"/>
        <w:spacing w:after="0" w:line="282" w:lineRule="auto"/>
        <w:rPr>
          <w:sz w:val="20"/>
          <w:szCs w:val="20"/>
          <w:color w:val="auto"/>
        </w:rPr>
      </w:pPr>
      <w:r>
        <w:rPr>
          <w:rFonts w:ascii="Times New Roman" w:cs="Times New Roman" w:eastAsia="Times New Roman" w:hAnsi="Times New Roman"/>
          <w:sz w:val="18"/>
          <w:szCs w:val="18"/>
          <w:color w:val="auto"/>
        </w:rPr>
        <w:t>Derivative asset: Derivative asset represents a forward contract. The fair value is determined using quoted prices for the underlying securities in active markets and accordingly, the Company classifies the valuation techniques that use these inputs as Level 1.</w:t>
      </w:r>
    </w:p>
    <w:p>
      <w:pPr>
        <w:spacing w:after="0" w:line="189" w:lineRule="exact"/>
        <w:rPr>
          <w:sz w:val="20"/>
          <w:szCs w:val="20"/>
          <w:color w:val="auto"/>
        </w:rPr>
      </w:pPr>
    </w:p>
    <w:p>
      <w:pPr>
        <w:ind w:left="80" w:right="80"/>
        <w:spacing w:after="0" w:line="282" w:lineRule="auto"/>
        <w:rPr>
          <w:sz w:val="20"/>
          <w:szCs w:val="20"/>
          <w:color w:val="auto"/>
        </w:rPr>
      </w:pPr>
      <w:r>
        <w:rPr>
          <w:rFonts w:ascii="Times New Roman" w:cs="Times New Roman" w:eastAsia="Times New Roman" w:hAnsi="Times New Roman"/>
          <w:sz w:val="18"/>
          <w:szCs w:val="18"/>
          <w:color w:val="auto"/>
        </w:rPr>
        <w:t>Equity securities: The Company values the listed equity securities using quoted prices for the underlying securities in active markets and accordingly, the Group classifies the valuation techniques that use these inputs as Level 1.</w:t>
      </w:r>
    </w:p>
    <w:p>
      <w:pPr>
        <w:spacing w:after="0" w:line="189" w:lineRule="exact"/>
        <w:rPr>
          <w:sz w:val="20"/>
          <w:szCs w:val="20"/>
          <w:color w:val="auto"/>
        </w:rPr>
      </w:pPr>
    </w:p>
    <w:p>
      <w:pPr>
        <w:ind w:left="80" w:right="100"/>
        <w:spacing w:after="0" w:line="266" w:lineRule="auto"/>
        <w:rPr>
          <w:sz w:val="20"/>
          <w:szCs w:val="20"/>
          <w:color w:val="auto"/>
        </w:rPr>
      </w:pPr>
      <w:r>
        <w:rPr>
          <w:rFonts w:ascii="Times New Roman" w:cs="Times New Roman" w:eastAsia="Times New Roman" w:hAnsi="Times New Roman"/>
          <w:sz w:val="18"/>
          <w:szCs w:val="18"/>
          <w:color w:val="auto"/>
        </w:rPr>
        <w:t>Available-for-sale debt investments: As the Company’s available-for-sale debt investment is not traded in an active market with readily observable quoted prices, the Company uses significant unobservable inputs (Level 3) to measure its fair value at inception and at each subsequent balance sheet date. See Note 9 for information about the significant unobservable inputs used in the respective fair value measurements.</w:t>
      </w:r>
    </w:p>
    <w:p>
      <w:pPr>
        <w:spacing w:after="0" w:line="203" w:lineRule="exact"/>
        <w:rPr>
          <w:sz w:val="20"/>
          <w:szCs w:val="20"/>
          <w:color w:val="auto"/>
        </w:rPr>
      </w:pPr>
    </w:p>
    <w:p>
      <w:pPr>
        <w:ind w:left="80" w:right="180"/>
        <w:spacing w:after="0" w:line="282" w:lineRule="auto"/>
        <w:rPr>
          <w:sz w:val="20"/>
          <w:szCs w:val="20"/>
          <w:color w:val="auto"/>
        </w:rPr>
      </w:pPr>
      <w:r>
        <w:rPr>
          <w:rFonts w:ascii="Times New Roman" w:cs="Times New Roman" w:eastAsia="Times New Roman" w:hAnsi="Times New Roman"/>
          <w:sz w:val="18"/>
          <w:szCs w:val="18"/>
          <w:color w:val="auto"/>
        </w:rPr>
        <w:t>Public Warrants and Private Warrants: Public Warrants is classified as Level 1 due to the use of the observed trading price. For Private Warrants, see Note 14 for information about the significant unobservable inputs (Level 3) used in the fair value measurements.</w:t>
      </w:r>
    </w:p>
    <w:p>
      <w:pPr>
        <w:spacing w:after="0" w:line="189" w:lineRule="exact"/>
        <w:rPr>
          <w:sz w:val="20"/>
          <w:szCs w:val="20"/>
          <w:color w:val="auto"/>
        </w:rPr>
      </w:pPr>
    </w:p>
    <w:p>
      <w:pPr>
        <w:ind w:left="80"/>
        <w:spacing w:after="0" w:line="312" w:lineRule="auto"/>
        <w:rPr>
          <w:sz w:val="20"/>
          <w:szCs w:val="20"/>
          <w:color w:val="auto"/>
        </w:rPr>
      </w:pPr>
      <w:r>
        <w:rPr>
          <w:rFonts w:ascii="Times New Roman" w:cs="Times New Roman" w:eastAsia="Times New Roman" w:hAnsi="Times New Roman"/>
          <w:sz w:val="17"/>
          <w:szCs w:val="17"/>
          <w:color w:val="auto"/>
        </w:rPr>
        <w:t>Derivative liability: Derivative liability represents the bifurcated feature embedded in the Initial Note. The fair value of derivative liability is measured using income approach. See Note 16 for information about the significant unobservable inputs used in the respective fair value measurements.</w:t>
      </w:r>
    </w:p>
    <w:p>
      <w:pPr>
        <w:spacing w:after="0" w:line="167" w:lineRule="exact"/>
        <w:rPr>
          <w:sz w:val="20"/>
          <w:szCs w:val="20"/>
          <w:color w:val="auto"/>
        </w:rPr>
      </w:pPr>
    </w:p>
    <w:p>
      <w:pPr>
        <w:ind w:left="80" w:right="40"/>
        <w:spacing w:after="0" w:line="273" w:lineRule="auto"/>
        <w:rPr>
          <w:sz w:val="20"/>
          <w:szCs w:val="20"/>
          <w:color w:val="auto"/>
        </w:rPr>
      </w:pPr>
      <w:r>
        <w:rPr>
          <w:rFonts w:ascii="Times New Roman" w:cs="Times New Roman" w:eastAsia="Times New Roman" w:hAnsi="Times New Roman"/>
          <w:sz w:val="17"/>
          <w:szCs w:val="17"/>
          <w:color w:val="auto"/>
        </w:rPr>
        <w:t>The other financial assets and liabilities of the Group primarily consist of cash, restricted cash, short-term investments, accounts receivable, notes receivable, amounts due from related parties, receivables included in prepayments and other current assets and other non-current assets, short-term borrowings, long term borrowings, accounts payable, notes payable, amounts due to related parties, convertible notes payable, operating lease liabilities, payables included in accrued expenses and other current liabilities and other non-current liabilities. As of December 31, 2024 and 2025, the fair values of long-term borrowings and operating lease liabilities approximate to their carrying values, which is due to that the underlying interest rates approximated to the market rates for similar instruments with similar maturities. The carrying values of other financial instruments approximate their fair values due to the short-term maturity of these instruments or their interest rates are comparable to the prevailing interest rates in the market.</w:t>
      </w:r>
    </w:p>
    <w:p>
      <w:pPr>
        <w:spacing w:after="0" w:line="158" w:lineRule="exact"/>
        <w:rPr>
          <w:sz w:val="20"/>
          <w:szCs w:val="20"/>
          <w:color w:val="auto"/>
        </w:rPr>
      </w:pPr>
    </w:p>
    <w:p>
      <w:pPr>
        <w:ind w:left="80" w:right="40"/>
        <w:spacing w:after="0" w:line="236" w:lineRule="exact"/>
        <w:rPr>
          <w:sz w:val="20"/>
          <w:szCs w:val="20"/>
          <w:color w:val="auto"/>
        </w:rPr>
      </w:pPr>
      <w:r>
        <w:rPr>
          <w:rFonts w:ascii="Times New Roman" w:cs="Times New Roman" w:eastAsia="Times New Roman" w:hAnsi="Times New Roman"/>
          <w:sz w:val="18"/>
          <w:szCs w:val="18"/>
          <w:color w:val="auto"/>
        </w:rPr>
        <w:t>The Group’s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assets, such as property and equipment and intangible assets, would be measured at fair value only if they were determined to be impaired. See Note 11 for information about the significant unobservable inputs used in the fair value measurement of intangible assets – developed technology.</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80" w:top="337" w:right="399" w:bottom="1440" w:gutter="0" w:footer="0" w:header="0"/>
        </w:sectPr>
      </w:pPr>
    </w:p>
    <w:bookmarkStart w:id="189" w:name="page190"/>
    <w:bookmarkEnd w:id="189"/>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has future minimum purchase commitment related to the purchase of research and development services. Total purchase obligations contracted but not yet reflected in the consolidated financial statements as of December 31, 2025 were as follows: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Over 5</w:t>
            </w:r>
          </w:p>
        </w:tc>
      </w:tr>
      <w:tr>
        <w:trPr>
          <w:trHeight w:val="190"/>
        </w:trPr>
        <w:tc>
          <w:tcPr>
            <w:tcW w:w="28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9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7"/>
              </w:rPr>
              <w:t>2-3 Years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37"/>
        </w:trPr>
        <w:tc>
          <w:tcPr>
            <w:tcW w:w="28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28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r>
      <w:tr>
        <w:trPr>
          <w:trHeight w:val="37"/>
        </w:trPr>
        <w:tc>
          <w:tcPr>
            <w:tcW w:w="2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capital expenditures contracted but not yet reflected in the consolidated financial statements as of December 31,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 Years</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 Years</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commitments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right w:val="single" w:sz="8" w:color="CCEEFF"/>
            </w:tcBorders>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Commitments to purchase equity securities</w:t>
            </w: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2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 Years</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purchase equity</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18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tcPr>
          <w:p>
            <w:pPr>
              <w:spacing w:after="0"/>
              <w:rPr>
                <w:sz w:val="19"/>
                <w:szCs w:val="19"/>
                <w:color w:val="auto"/>
              </w:rPr>
            </w:pPr>
          </w:p>
        </w:tc>
        <w:tc>
          <w:tcPr>
            <w:tcW w:w="120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left w:val="single" w:sz="8" w:color="CCEEFF"/>
            </w:tcBorders>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90" w:name="page191"/>
    <w:bookmarkEnd w:id="190"/>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Related party balances and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Parties</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8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Names of the major related parties</w:t>
            </w:r>
          </w:p>
        </w:tc>
        <w:tc>
          <w:tcPr>
            <w:tcW w:w="52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i w:val="1"/>
                <w:iCs w:val="1"/>
                <w:color w:val="auto"/>
              </w:rPr>
              <w:t>Nature of relationship</w:t>
            </w:r>
          </w:p>
        </w:tc>
      </w:tr>
      <w:tr>
        <w:trPr>
          <w:trHeight w:val="37"/>
        </w:trPr>
        <w:tc>
          <w:tcPr>
            <w:tcW w:w="5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r>
      <w:tr>
        <w:trPr>
          <w:trHeight w:val="24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Zhejiang Geely Holding Group (“Geely Group”) and its subsidiaries</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Anhui Xinzhi Technology Co., Ltd. (“Anhui Xinzhi”)</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Zhejiang Huanfu Technology Co., Ltd., (“Zhejiang Huanfu”)</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Hubei Xingji Meizu Group Co., Ltd. (“Xingji Meizu”)</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Wuhan Xingji Meizu Technology Co., Ltd and its subsidiaries</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Hubei ECARX Technology Co., Ltd (“Hubei ECARX”)</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Arteus Group Limited (“Arteus”)</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DreamSmart Technology Pte. Ltd. (“DreamSmart”) and its subsidiaries</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HaleyTek AB</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controlled by the controlling shareholder of the Company</w:t>
            </w:r>
          </w:p>
        </w:tc>
      </w:tr>
      <w:tr>
        <w:trPr>
          <w:trHeight w:val="22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Proton Holdings Berhad and its subsidiaries</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that the controlling shareholder of the Company has significant</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influence</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SiEngine Technology Co., Ltd. (“SiEngine”)</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which is under significant influence of the Company</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Shenzhen U Chance Technology Co., Ltd.</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which is under significant influence of the Company</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25"/>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Smart Automobile Co., Ltd.</w:t>
            </w: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that the controlling shareholder of the Company has significant</w:t>
            </w:r>
          </w:p>
        </w:tc>
      </w:tr>
      <w:tr>
        <w:trPr>
          <w:trHeight w:val="241"/>
        </w:trPr>
        <w:tc>
          <w:tcPr>
            <w:tcW w:w="5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influence</w:t>
            </w:r>
          </w:p>
        </w:tc>
      </w:tr>
      <w:tr>
        <w:trPr>
          <w:trHeight w:val="22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Smart (Zhejiang) Software Technology Co., Ltd. (“smart Zhejiang”)</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that the controlling shareholder of the Company has significant</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influence</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ACO Tech Sdn. Bhd.</w:t>
            </w: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 which is under significant influence of the Company</w:t>
            </w:r>
          </w:p>
        </w:tc>
      </w:tr>
      <w:tr>
        <w:trPr>
          <w:trHeight w:val="22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Hubei Dongjun Automotive Electronic Technology Co., Ltd. (“Hubei</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which is under significant influence of the Company before</w:t>
            </w:r>
          </w:p>
        </w:tc>
      </w:tr>
      <w:tr>
        <w:trPr>
          <w:trHeight w:val="234"/>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Dongjun”)</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in July 2024 (Note 3.b)</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Significant transactions with related parties, except transactions disclosed elsewhere in these consolidated financial statements: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Contractual arrangements with Zhejiang Huanfu</w:t>
      </w:r>
    </w:p>
    <w:p>
      <w:pPr>
        <w:spacing w:after="0" w:line="227" w:lineRule="exact"/>
        <w:rPr>
          <w:sz w:val="20"/>
          <w:szCs w:val="20"/>
          <w:color w:val="auto"/>
        </w:rPr>
      </w:pPr>
    </w:p>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In 2023 and 2024, the Group licensed certain intellectual property to Zhejiang Huanfu to enable it to perform certain data-related services (Including TSP maintenance service) and also provided technical consulting services to</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right="200"/>
        <w:spacing w:after="0" w:line="282" w:lineRule="auto"/>
        <w:rPr>
          <w:sz w:val="20"/>
          <w:szCs w:val="20"/>
          <w:color w:val="auto"/>
        </w:rPr>
      </w:pPr>
      <w:r>
        <w:rPr>
          <w:rFonts w:ascii="Times New Roman" w:cs="Times New Roman" w:eastAsia="Times New Roman" w:hAnsi="Times New Roman"/>
          <w:sz w:val="18"/>
          <w:szCs w:val="18"/>
          <w:color w:val="auto"/>
        </w:rPr>
        <w:t>Zhejiang Huanfu on the development of telematics products and licensed certain intellectual property to Zhejiang Huanfu on information security of telematics service. Details of transactions with Zhejiang Huanfu are included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arrangements with Hubei ECARX</w:t>
      </w:r>
    </w:p>
    <w:p>
      <w:pPr>
        <w:spacing w:after="0" w:line="227" w:lineRule="exact"/>
        <w:rPr>
          <w:sz w:val="20"/>
          <w:szCs w:val="20"/>
          <w:color w:val="auto"/>
        </w:rPr>
      </w:pPr>
    </w:p>
    <w:p>
      <w:pPr>
        <w:ind w:left="80" w:right="160" w:firstLine="648"/>
        <w:spacing w:after="0" w:line="256" w:lineRule="auto"/>
        <w:rPr>
          <w:sz w:val="20"/>
          <w:szCs w:val="20"/>
          <w:color w:val="auto"/>
        </w:rPr>
      </w:pPr>
      <w:r>
        <w:rPr>
          <w:rFonts w:ascii="Times New Roman" w:cs="Times New Roman" w:eastAsia="Times New Roman" w:hAnsi="Times New Roman"/>
          <w:sz w:val="18"/>
          <w:szCs w:val="18"/>
          <w:color w:val="auto"/>
        </w:rPr>
        <w:t>In 2023, in connection with the Group’s autonomous driving systems, the Group engaged Hubei ECARX for an autonomous driving compliance and cloud data compliance service after having compared the pricing terms with the quotations obtained from other unrelated third-party vendors. Under this contract, Hubei ECARX is responsible for (i) the collection and storage of general sensor data (as opposed to surveying and mapping data); (ii) the desensitization of such data in a regulation compliant environment; and (iii) the provision of the desensitized data to the Company for its ADAS/autonomous driving products and technologies. Amount paid to Hubei ECARX for these services and interest income from loan are disclosed below. Details of transactions with Hubei Ecarx are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arrangements with DreamSmart and its subsidiary Xingji Meizu</w:t>
      </w:r>
    </w:p>
    <w:p>
      <w:pPr>
        <w:spacing w:after="0" w:line="227" w:lineRule="exact"/>
        <w:rPr>
          <w:sz w:val="20"/>
          <w:szCs w:val="20"/>
          <w:color w:val="auto"/>
        </w:rPr>
      </w:pPr>
    </w:p>
    <w:p>
      <w:pPr>
        <w:ind w:left="80"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disclosure in Note 9, the Group had significant transaction arrangements with DreamSmart and its subsidiary Xingji Meizu as noted below:</w:t>
      </w:r>
    </w:p>
    <w:p>
      <w:pPr>
        <w:spacing w:after="0" w:line="162" w:lineRule="exact"/>
        <w:rPr>
          <w:sz w:val="20"/>
          <w:szCs w:val="20"/>
          <w:color w:val="auto"/>
        </w:rPr>
      </w:pPr>
    </w:p>
    <w:p>
      <w:pPr>
        <w:ind w:left="80" w:right="140" w:firstLine="648"/>
        <w:spacing w:after="0" w:line="256" w:lineRule="auto"/>
        <w:rPr>
          <w:sz w:val="20"/>
          <w:szCs w:val="20"/>
          <w:color w:val="auto"/>
        </w:rPr>
      </w:pPr>
      <w:r>
        <w:rPr>
          <w:rFonts w:ascii="Times New Roman" w:cs="Times New Roman" w:eastAsia="Times New Roman" w:hAnsi="Times New Roman"/>
          <w:sz w:val="18"/>
          <w:szCs w:val="18"/>
          <w:color w:val="auto"/>
        </w:rPr>
        <w:t>In 2023, the Group entered into a strategic cooperation agreement and a licensing agreement with Xingji Meizu, an indirect subsidiary of DreamSmart, pursuant to which, the Group licensed certain intellectual properties to Xingji Meizu for the development of the Flyme Auto intelligent cockpit solutions. In addition, the Group obtained certain rights to distribute the Flyme Auto intelligent cockpit solutions worldwide for three years with a total licensing fee of RMB150,000 (equivalent to US$21,020) in installments. In May 2025, the Group and Xingji Meizu entered into an amendment agreement and agreed to extend the license for an additional term of 8 years to November 2033 on an exclusive basis for no additional consideration.</w:t>
      </w:r>
    </w:p>
    <w:p>
      <w:pPr>
        <w:spacing w:after="0" w:line="187" w:lineRule="exact"/>
        <w:rPr>
          <w:sz w:val="20"/>
          <w:szCs w:val="20"/>
          <w:color w:val="auto"/>
        </w:rPr>
      </w:pPr>
    </w:p>
    <w:p>
      <w:pPr>
        <w:ind w:left="80" w:firstLine="648"/>
        <w:spacing w:after="0" w:line="266" w:lineRule="auto"/>
        <w:rPr>
          <w:sz w:val="20"/>
          <w:szCs w:val="20"/>
          <w:color w:val="auto"/>
        </w:rPr>
      </w:pPr>
      <w:r>
        <w:rPr>
          <w:rFonts w:ascii="Times New Roman" w:cs="Times New Roman" w:eastAsia="Times New Roman" w:hAnsi="Times New Roman"/>
          <w:sz w:val="18"/>
          <w:szCs w:val="18"/>
          <w:color w:val="auto"/>
        </w:rPr>
        <w:t>During 2023 to 2025, the Group entered into several technology development entrustment agreements with Xingji Meizu, under which Xingji Meizu was engaged to provide software development, system integration, testing, and related technical services in connection with certain intelligent cockpit software projects for end customers.</w:t>
      </w:r>
    </w:p>
    <w:p>
      <w:pPr>
        <w:spacing w:after="0" w:line="176" w:lineRule="exact"/>
        <w:rPr>
          <w:sz w:val="20"/>
          <w:szCs w:val="20"/>
          <w:color w:val="auto"/>
        </w:rPr>
      </w:pPr>
    </w:p>
    <w:p>
      <w:pPr>
        <w:ind w:left="80" w:right="100" w:firstLine="648"/>
        <w:spacing w:after="0" w:line="220" w:lineRule="exact"/>
        <w:rPr>
          <w:sz w:val="20"/>
          <w:szCs w:val="20"/>
          <w:color w:val="auto"/>
        </w:rPr>
      </w:pPr>
      <w:r>
        <w:rPr>
          <w:rFonts w:ascii="Times New Roman" w:cs="Times New Roman" w:eastAsia="Times New Roman" w:hAnsi="Times New Roman"/>
          <w:sz w:val="18"/>
          <w:szCs w:val="18"/>
          <w:color w:val="auto"/>
        </w:rPr>
        <w:t>In September 2023, the Group entered into a loan agreement with Xingji Meizu, pursuant to which, the Group provided a loan to Xingji Meizu in an amount of US$27,413 with an interest rate of 4.20% per annum, which was fully repaid in December 2023. In August 2025, the Group provided a loan to Xingji Meizu amounting to US$6,880 for working capital and general corporate purposes. The loan bears interest at 4.06% per annum, calculated based on the actual number of days outstanding, and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ending in August 2026, subject to customary acceleration events.</w:t>
      </w:r>
    </w:p>
    <w:p>
      <w:pPr>
        <w:spacing w:after="0" w:line="201" w:lineRule="exact"/>
        <w:rPr>
          <w:sz w:val="20"/>
          <w:szCs w:val="20"/>
          <w:color w:val="auto"/>
        </w:rPr>
      </w:pPr>
    </w:p>
    <w:p>
      <w:pPr>
        <w:ind w:left="80" w:right="460" w:firstLine="648"/>
        <w:spacing w:after="0" w:line="239" w:lineRule="exact"/>
        <w:rPr>
          <w:sz w:val="20"/>
          <w:szCs w:val="20"/>
          <w:color w:val="auto"/>
        </w:rPr>
      </w:pPr>
      <w:r>
        <w:rPr>
          <w:rFonts w:ascii="Times New Roman" w:cs="Times New Roman" w:eastAsia="Times New Roman" w:hAnsi="Times New Roman"/>
          <w:sz w:val="18"/>
          <w:szCs w:val="18"/>
          <w:color w:val="auto"/>
        </w:rPr>
        <w:t>In December 2025, the Group entered into a production procurement framework agreement with Xingji Meizu for a one-year term. The framework agreement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and does not commit to any minimum purchase volume.</w:t>
      </w:r>
    </w:p>
    <w:p>
      <w:pPr>
        <w:spacing w:after="0" w:line="200" w:lineRule="exact"/>
        <w:rPr>
          <w:sz w:val="20"/>
          <w:szCs w:val="20"/>
          <w:color w:val="auto"/>
        </w:rPr>
      </w:pPr>
    </w:p>
    <w:p>
      <w:pPr>
        <w:spacing w:after="0" w:line="3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80" w:top="337" w:right="379" w:bottom="1440" w:gutter="0" w:footer="0" w:header="0"/>
        </w:sectPr>
      </w:pPr>
    </w:p>
    <w:bookmarkStart w:id="192" w:name="page193"/>
    <w:bookmarkEnd w:id="192"/>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(i):</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of goods revenues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383,228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531,994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622,115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Automotive computing platform</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computing platform to Zhejiang Huanfu</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computing platform to Hubei Ecarx</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SoC Core Modules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Automotive merchandise and other products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license revenues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Software license to Zhejiang Huanfu</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21"/>
                <w:szCs w:val="21"/>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Including: Software license to Xingji Meizu</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116,660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108,120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Automotive computing platform – Design and development service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Automotive computing platform – Design and development service to</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Zhejiang Huanfu</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00" w:type="dxa"/>
            <w:vAlign w:val="bottom"/>
          </w:tcPr>
          <w:p>
            <w:pPr>
              <w:spacing w:after="0"/>
              <w:rPr>
                <w:sz w:val="20"/>
                <w:szCs w:val="20"/>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 Automotive computing platform – Design and development service to</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Xingji Meizu</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Connectivity service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Other services to Zhejiang Huanfu</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552,310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682,986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757,790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ind w:left="5120"/>
              <w:spacing w:after="0"/>
              <w:rPr>
                <w:sz w:val="20"/>
                <w:szCs w:val="20"/>
                <w:color w:val="auto"/>
              </w:rPr>
            </w:pPr>
            <w:r>
              <w:rPr>
                <w:rFonts w:ascii="Times New Roman" w:cs="Times New Roman" w:eastAsia="Times New Roman" w:hAnsi="Times New Roman"/>
                <w:sz w:val="18"/>
                <w:szCs w:val="18"/>
                <w:color w:val="auto"/>
              </w:rPr>
              <w:t>F-63</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41910</wp:posOffset>
            </wp:positionV>
            <wp:extent cx="2846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gridSpan w:val="3"/>
          </w:tcPr>
          <w:p>
            <w:pPr>
              <w:ind w:left="69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products and services (ii)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89,732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309,303</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Purchase of products and services from Zhejiang Huanfu (ii)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14,398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Purchase of products and services from Hubei Ecarx (ii)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Purchase of products and services from Xingji Meizu (ii)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Rental of office space (ii)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(vi)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on loans due from related parties (iii)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63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Xingji Meizu</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on loans due from Hubei ECARX (v)</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borrowings due to related parties (iv)</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and advances to related parties (iii)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29,433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Loans to Xingji Meizu (iii)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27,413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collection of loans to related parties and advances to related parties (iii)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29,388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Cash collection of loans to Xingji Meizu (iii)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27,413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from related parties (iv)</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44,458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188,495</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related parties (iv)</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44,458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153,972</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assignment and offset with related parties (iv)</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29,415</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software license rights from Xingji Meizu (vii)</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21,020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Advances from related parties (viii)</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to related parties (viii)</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26,504</w:t>
            </w:r>
          </w:p>
        </w:tc>
      </w:tr>
      <w:tr>
        <w:trPr>
          <w:trHeight w:val="527"/>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Balances with related parties: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5"/>
        </w:trPr>
        <w:tc>
          <w:tcPr>
            <w:tcW w:w="3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24"/>
                <w:szCs w:val="24"/>
                <w:color w:val="auto"/>
              </w:rPr>
            </w:pP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340" w:type="dxa"/>
            <w:vAlign w:val="bottom"/>
          </w:tcPr>
          <w:p>
            <w:pPr>
              <w:spacing w:after="0"/>
              <w:rPr>
                <w:sz w:val="3"/>
                <w:szCs w:val="3"/>
                <w:color w:val="auto"/>
              </w:rPr>
            </w:pPr>
          </w:p>
        </w:tc>
        <w:tc>
          <w:tcPr>
            <w:tcW w:w="688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related parties, net (i)</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185,536</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 (ii)(iii)(v)(viii)</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53,737</w:t>
            </w:r>
          </w:p>
        </w:tc>
      </w:tr>
      <w:tr>
        <w:trPr>
          <w:trHeight w:val="27"/>
        </w:trPr>
        <w:tc>
          <w:tcPr>
            <w:tcW w:w="340" w:type="dxa"/>
            <w:vAlign w:val="bottom"/>
          </w:tcPr>
          <w:p>
            <w:pPr>
              <w:spacing w:after="0"/>
              <w:rPr>
                <w:sz w:val="2"/>
                <w:szCs w:val="2"/>
                <w:color w:val="auto"/>
              </w:rPr>
            </w:pPr>
          </w:p>
        </w:tc>
        <w:tc>
          <w:tcPr>
            <w:tcW w:w="68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 related parties (v)</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 related parties (ii) (vii)</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104,483</w:t>
            </w:r>
          </w:p>
        </w:tc>
      </w:tr>
      <w:tr>
        <w:trPr>
          <w:trHeight w:val="27"/>
        </w:trPr>
        <w:tc>
          <w:tcPr>
            <w:tcW w:w="340" w:type="dxa"/>
            <w:vAlign w:val="bottom"/>
          </w:tcPr>
          <w:p>
            <w:pPr>
              <w:spacing w:after="0"/>
              <w:rPr>
                <w:sz w:val="2"/>
                <w:szCs w:val="2"/>
                <w:color w:val="auto"/>
              </w:rPr>
            </w:pPr>
          </w:p>
        </w:tc>
        <w:tc>
          <w:tcPr>
            <w:tcW w:w="68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 (ii)(iv)(viii)</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54,648</w:t>
            </w:r>
          </w:p>
        </w:tc>
      </w:tr>
      <w:tr>
        <w:trPr>
          <w:trHeight w:val="243"/>
        </w:trPr>
        <w:tc>
          <w:tcPr>
            <w:tcW w:w="34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 (i)</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7"/>
        </w:trPr>
        <w:tc>
          <w:tcPr>
            <w:tcW w:w="340" w:type="dxa"/>
            <w:vAlign w:val="bottom"/>
          </w:tcPr>
          <w:p>
            <w:pPr>
              <w:spacing w:after="0"/>
              <w:rPr>
                <w:sz w:val="2"/>
                <w:szCs w:val="2"/>
                <w:color w:val="auto"/>
              </w:rPr>
            </w:pPr>
          </w:p>
        </w:tc>
        <w:tc>
          <w:tcPr>
            <w:tcW w:w="68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 (i)</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0"/>
        </w:trPr>
        <w:tc>
          <w:tcPr>
            <w:tcW w:w="6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ind w:left="660" w:hanging="328"/>
        <w:spacing w:after="0" w:line="247" w:lineRule="auto"/>
        <w:tabs>
          <w:tab w:leader="none" w:pos="647"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sold automotive computing platform products, merchandise and other products, software licenses and provided related technology development services, connectivity service, and other consulting services to a number of related parties. Among these, the Group sold automotive computing platform products, licensed the intellectual property related to TSP software and provided related technology development services and other consulting services to Zhejiang Huanfu. Accounts receivable, net due from related parties arising from sales of products and provision of services were US$187,330 and US$185,536 as of December 31, 2024 and 2025, respectively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Contract liabilities, current and contract liabilities, noncurrent were US$20,493 and US$7,325 and US$5,084 and US$10 as of December 31, 2024 and 2025, respectively.</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72" w:lineRule="exact"/>
        <w:rPr>
          <w:sz w:val="20"/>
          <w:szCs w:val="20"/>
          <w:color w:val="auto"/>
        </w:rPr>
      </w:pPr>
    </w:p>
    <w:p>
      <w:pPr>
        <w:ind w:left="400" w:hanging="328"/>
        <w:spacing w:after="0" w:line="245" w:lineRule="auto"/>
        <w:tabs>
          <w:tab w:leader="none" w:pos="38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purchased raw materials, technology development services and other consulting services from a number of related parties, of which, US$5,845, US$18,072 and US$32,455 of purchase of raw materials were recorded as inventories as of December 31, 2023, 2024 and 2025, respectively; US$77,163, US$123,082 and US$266,615 were recorded in cost of revenues for the years ended December 31, 2023, 2024 and 2025, respectively; US$6,724, US$16,434 and US$10,233 were recorded in operating expenses for the years ended December 31, 2023, 2024 and 2025, respectively. The Group purchased raw materials, technology development services and TSP maintenance service from Zhejiang Huanfu, of which, US$14,339, US$3,484 and US$629 were recorded in cost of revenues for the years ended December 31, 2023, 2024 and 2025, respectively; and US$59, US$1 and US$68 were recorded in operating expenses for the years ended December 31, 2023, 2024 and 2025, respectively. The Group also purchased research and development service from Hubei Ecarx of which, nil, US$288 and US$614</w:t>
      </w:r>
    </w:p>
    <w:p>
      <w:pPr>
        <w:spacing w:after="0" w:line="163" w:lineRule="exact"/>
        <w:rPr>
          <w:rFonts w:ascii="Times New Roman" w:cs="Times New Roman" w:eastAsia="Times New Roman" w:hAnsi="Times New Roman"/>
          <w:sz w:val="14"/>
          <w:szCs w:val="14"/>
          <w:color w:val="auto"/>
        </w:rPr>
      </w:pPr>
    </w:p>
    <w:p>
      <w:pPr>
        <w:ind w:left="400" w:righ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recorded in cost of revenues, US$467, US$2,236 and US$451 were recorded in operating expenses for the years ended December 31, 2023 2024 and 2025, respectively. The Group also purchased raw materials, software and research and development services from Xingji Meizu, of which, nil, US$8,557 and US$18,103 were recorded in cost of revenues, US$386, US$7,899 and US$5,124 were recorded in operating expenses for the years ended December 31, 2023, 2024 and 2025, respectively. The Group has rented office space from related parties, pursuant to which, the Group recorded rental expenses of US$652, US$778 and US$672 in operating expenses for the years ended December 31, 2023, 2024 and 2025, respectively</w:t>
      </w:r>
      <w:r>
        <w:rPr>
          <w:rFonts w:ascii="Times New Roman" w:cs="Times New Roman" w:eastAsia="Times New Roman" w:hAnsi="Times New Roman"/>
          <w:sz w:val="14"/>
          <w:szCs w:val="14"/>
          <w:color w:val="231F20"/>
        </w:rPr>
        <w:t>.</w:t>
      </w:r>
    </w:p>
    <w:p>
      <w:pPr>
        <w:spacing w:after="0" w:line="218" w:lineRule="exact"/>
        <w:rPr>
          <w:rFonts w:ascii="Times New Roman" w:cs="Times New Roman" w:eastAsia="Times New Roman" w:hAnsi="Times New Roman"/>
          <w:sz w:val="14"/>
          <w:szCs w:val="14"/>
          <w:color w:val="auto"/>
        </w:rPr>
      </w:pPr>
    </w:p>
    <w:p>
      <w:pPr>
        <w:ind w:left="400" w:right="3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Accounts payable to related parties includes payables arising from purchase of raw materials and services of US$</w:t>
      </w:r>
      <w:r>
        <w:rPr>
          <w:rFonts w:ascii="Times New Roman" w:cs="Times New Roman" w:eastAsia="Times New Roman" w:hAnsi="Times New Roman"/>
          <w:sz w:val="14"/>
          <w:szCs w:val="14"/>
          <w:color w:val="000000"/>
        </w:rPr>
        <w:t>63,493</w:t>
      </w:r>
      <w:r>
        <w:rPr>
          <w:rFonts w:ascii="Times New Roman" w:cs="Times New Roman" w:eastAsia="Times New Roman" w:hAnsi="Times New Roman"/>
          <w:sz w:val="14"/>
          <w:szCs w:val="14"/>
          <w:color w:val="231F20"/>
        </w:rPr>
        <w:t xml:space="preserve"> and US$</w:t>
      </w:r>
      <w:r>
        <w:rPr>
          <w:rFonts w:ascii="Times New Roman" w:cs="Times New Roman" w:eastAsia="Times New Roman" w:hAnsi="Times New Roman"/>
          <w:sz w:val="14"/>
          <w:szCs w:val="14"/>
          <w:color w:val="000000"/>
        </w:rPr>
        <w:t>104,483, and</w:t>
      </w:r>
      <w:r>
        <w:rPr>
          <w:rFonts w:ascii="Times New Roman" w:cs="Times New Roman" w:eastAsia="Times New Roman" w:hAnsi="Times New Roman"/>
          <w:sz w:val="14"/>
          <w:szCs w:val="14"/>
          <w:color w:val="231F20"/>
        </w:rPr>
        <w:t xml:space="preserve"> amount due from related parties includes prepayments arising from purchase of raw materials and services of US$</w:t>
      </w:r>
      <w:r>
        <w:rPr>
          <w:rFonts w:ascii="Times New Roman" w:cs="Times New Roman" w:eastAsia="Times New Roman" w:hAnsi="Times New Roman"/>
          <w:sz w:val="14"/>
          <w:szCs w:val="14"/>
          <w:color w:val="000000"/>
        </w:rPr>
        <w:t>3,645</w:t>
      </w:r>
      <w:r>
        <w:rPr>
          <w:rFonts w:ascii="Times New Roman" w:cs="Times New Roman" w:eastAsia="Times New Roman" w:hAnsi="Times New Roman"/>
          <w:sz w:val="14"/>
          <w:szCs w:val="14"/>
          <w:color w:val="231F20"/>
        </w:rPr>
        <w:t xml:space="preserve"> and US$</w:t>
      </w:r>
      <w:r>
        <w:rPr>
          <w:rFonts w:ascii="Times New Roman" w:cs="Times New Roman" w:eastAsia="Times New Roman" w:hAnsi="Times New Roman"/>
          <w:sz w:val="14"/>
          <w:szCs w:val="14"/>
          <w:color w:val="000000"/>
        </w:rPr>
        <w:t>10,169</w:t>
      </w:r>
      <w:r>
        <w:rPr>
          <w:rFonts w:ascii="Times New Roman" w:cs="Times New Roman" w:eastAsia="Times New Roman" w:hAnsi="Times New Roman"/>
          <w:sz w:val="14"/>
          <w:szCs w:val="14"/>
          <w:color w:val="231F20"/>
        </w:rPr>
        <w:t xml:space="preserve"> 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31F20"/>
        </w:rPr>
        <w:t>, respectively. Amounts due to related parties includes payables arising from purchase of technical services and logistics services of US$</w:t>
      </w:r>
      <w:r>
        <w:rPr>
          <w:rFonts w:ascii="Times New Roman" w:cs="Times New Roman" w:eastAsia="Times New Roman" w:hAnsi="Times New Roman"/>
          <w:sz w:val="14"/>
          <w:szCs w:val="14"/>
          <w:color w:val="000000"/>
        </w:rPr>
        <w:t>1,730</w:t>
      </w:r>
      <w:r>
        <w:rPr>
          <w:rFonts w:ascii="Times New Roman" w:cs="Times New Roman" w:eastAsia="Times New Roman" w:hAnsi="Times New Roman"/>
          <w:sz w:val="14"/>
          <w:szCs w:val="14"/>
          <w:color w:val="231F20"/>
        </w:rPr>
        <w:t xml:space="preserve"> and US$</w:t>
      </w:r>
      <w:r>
        <w:rPr>
          <w:rFonts w:ascii="Times New Roman" w:cs="Times New Roman" w:eastAsia="Times New Roman" w:hAnsi="Times New Roman"/>
          <w:sz w:val="14"/>
          <w:szCs w:val="14"/>
          <w:color w:val="000000"/>
        </w:rPr>
        <w:t>10,174</w:t>
      </w:r>
      <w:r>
        <w:rPr>
          <w:rFonts w:ascii="Times New Roman" w:cs="Times New Roman" w:eastAsia="Times New Roman" w:hAnsi="Times New Roman"/>
          <w:sz w:val="14"/>
          <w:szCs w:val="14"/>
          <w:color w:val="231F20"/>
        </w:rPr>
        <w:t xml:space="preserve"> 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31F20"/>
        </w:rPr>
        <w:t>, respectively.</w:t>
      </w:r>
    </w:p>
    <w:p>
      <w:pPr>
        <w:spacing w:after="0" w:line="176" w:lineRule="exact"/>
        <w:rPr>
          <w:rFonts w:ascii="Times New Roman" w:cs="Times New Roman" w:eastAsia="Times New Roman" w:hAnsi="Times New Roman"/>
          <w:sz w:val="14"/>
          <w:szCs w:val="14"/>
          <w:color w:val="auto"/>
        </w:rPr>
      </w:pPr>
    </w:p>
    <w:p>
      <w:pPr>
        <w:ind w:left="400" w:right="100" w:hanging="328"/>
        <w:spacing w:after="0" w:line="262" w:lineRule="auto"/>
        <w:tabs>
          <w:tab w:leader="none" w:pos="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provided loans of US$29,433, US$1,488 and US$11,371 to related parties, and received repayments of US$29,388, US$2,439 and US$5,832 from related parties for the years ended December 31, 2023, 2024 and 2025 respectively. Interest incomes on loans due from related parties were US$748, US$62 and US$150 for the years ended December 31, 2023, 2024 and 2025, respectively.</w:t>
      </w:r>
    </w:p>
    <w:p>
      <w:pPr>
        <w:spacing w:after="0" w:line="1" w:lineRule="exact"/>
        <w:rPr>
          <w:rFonts w:ascii="Times New Roman" w:cs="Times New Roman" w:eastAsia="Times New Roman" w:hAnsi="Times New Roman"/>
          <w:sz w:val="14"/>
          <w:szCs w:val="14"/>
          <w:color w:val="auto"/>
        </w:rPr>
      </w:pPr>
    </w:p>
    <w:p>
      <w:pPr>
        <w:ind w:left="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As of December 31, </w:t>
      </w:r>
      <w:r>
        <w:rPr>
          <w:rFonts w:ascii="Times New Roman" w:cs="Times New Roman" w:eastAsia="Times New Roman" w:hAnsi="Times New Roman"/>
          <w:sz w:val="14"/>
          <w:szCs w:val="14"/>
          <w:color w:val="000000"/>
        </w:rPr>
        <w:t>2024 and 2025</w:t>
      </w:r>
      <w:r>
        <w:rPr>
          <w:rFonts w:ascii="Times New Roman" w:cs="Times New Roman" w:eastAsia="Times New Roman" w:hAnsi="Times New Roman"/>
          <w:sz w:val="14"/>
          <w:szCs w:val="14"/>
          <w:color w:val="231F20"/>
        </w:rPr>
        <w:t>, loans and interest receivables from related parties was US$1,362 and US$</w:t>
      </w:r>
      <w:r>
        <w:rPr>
          <w:rFonts w:ascii="Times New Roman" w:cs="Times New Roman" w:eastAsia="Times New Roman" w:hAnsi="Times New Roman"/>
          <w:sz w:val="14"/>
          <w:szCs w:val="14"/>
          <w:color w:val="000000"/>
        </w:rPr>
        <w:t>7,024, respectively</w:t>
      </w:r>
      <w:r>
        <w:rPr>
          <w:rFonts w:ascii="Times New Roman" w:cs="Times New Roman" w:eastAsia="Times New Roman" w:hAnsi="Times New Roman"/>
          <w:sz w:val="14"/>
          <w:szCs w:val="14"/>
          <w:color w:val="231F20"/>
        </w:rPr>
        <w:t>.</w:t>
      </w:r>
    </w:p>
    <w:p>
      <w:pPr>
        <w:spacing w:after="0" w:line="214" w:lineRule="exact"/>
        <w:rPr>
          <w:rFonts w:ascii="Times New Roman" w:cs="Times New Roman" w:eastAsia="Times New Roman" w:hAnsi="Times New Roman"/>
          <w:sz w:val="14"/>
          <w:szCs w:val="14"/>
          <w:color w:val="auto"/>
        </w:rPr>
      </w:pPr>
    </w:p>
    <w:p>
      <w:pPr>
        <w:ind w:left="400" w:right="120" w:hanging="328"/>
        <w:spacing w:after="0" w:line="302" w:lineRule="auto"/>
        <w:tabs>
          <w:tab w:leader="none" w:pos="428"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In January 2023, ECARX (Hubei) Tech entered into an unsecured loan agreement with Geely Group in an amount of US$44,458 with an interest rate of 4.1% per annum, which was fully repaid in December 2023.</w:t>
      </w:r>
    </w:p>
    <w:p>
      <w:pPr>
        <w:spacing w:after="0" w:line="189" w:lineRule="exact"/>
        <w:rPr>
          <w:sz w:val="20"/>
          <w:szCs w:val="20"/>
          <w:color w:val="auto"/>
        </w:rPr>
      </w:pPr>
    </w:p>
    <w:p>
      <w:pPr>
        <w:ind w:left="400"/>
        <w:spacing w:after="0" w:line="302" w:lineRule="auto"/>
        <w:rPr>
          <w:sz w:val="20"/>
          <w:szCs w:val="20"/>
          <w:color w:val="auto"/>
        </w:rPr>
      </w:pPr>
      <w:r>
        <w:rPr>
          <w:rFonts w:ascii="Times New Roman" w:cs="Times New Roman" w:eastAsia="Times New Roman" w:hAnsi="Times New Roman"/>
          <w:sz w:val="14"/>
          <w:szCs w:val="14"/>
          <w:color w:val="231F20"/>
        </w:rPr>
        <w:t>In January 2024, ECARX (Hubei) Tech obtained renewed US$</w:t>
      </w:r>
      <w:r>
        <w:rPr>
          <w:rFonts w:ascii="Times New Roman" w:cs="Times New Roman" w:eastAsia="Times New Roman" w:hAnsi="Times New Roman"/>
          <w:sz w:val="14"/>
          <w:szCs w:val="14"/>
          <w:color w:val="000000"/>
        </w:rPr>
        <w:t>41,832</w:t>
      </w:r>
      <w:r>
        <w:rPr>
          <w:rFonts w:ascii="Times New Roman" w:cs="Times New Roman" w:eastAsia="Times New Roman" w:hAnsi="Times New Roman"/>
          <w:sz w:val="14"/>
          <w:szCs w:val="14"/>
          <w:color w:val="231F20"/>
        </w:rPr>
        <w:t xml:space="preserve"> loan from Geely Group. In June 2024, US$</w:t>
      </w:r>
      <w:r>
        <w:rPr>
          <w:rFonts w:ascii="Times New Roman" w:cs="Times New Roman" w:eastAsia="Times New Roman" w:hAnsi="Times New Roman"/>
          <w:sz w:val="14"/>
          <w:szCs w:val="14"/>
          <w:color w:val="000000"/>
        </w:rPr>
        <w:t>13,697</w:t>
      </w:r>
      <w:r>
        <w:rPr>
          <w:rFonts w:ascii="Times New Roman" w:cs="Times New Roman" w:eastAsia="Times New Roman" w:hAnsi="Times New Roman"/>
          <w:sz w:val="14"/>
          <w:szCs w:val="14"/>
          <w:color w:val="231F20"/>
        </w:rPr>
        <w:t xml:space="preserve"> out of the loan was repaid, the remaining US$</w:t>
      </w:r>
      <w:r>
        <w:rPr>
          <w:rFonts w:ascii="Times New Roman" w:cs="Times New Roman" w:eastAsia="Times New Roman" w:hAnsi="Times New Roman"/>
          <w:sz w:val="14"/>
          <w:szCs w:val="14"/>
          <w:color w:val="000000"/>
        </w:rPr>
        <w:t>28,135</w:t>
      </w:r>
      <w:r>
        <w:rPr>
          <w:rFonts w:ascii="Times New Roman" w:cs="Times New Roman" w:eastAsia="Times New Roman" w:hAnsi="Times New Roman"/>
          <w:sz w:val="14"/>
          <w:szCs w:val="14"/>
          <w:color w:val="231F20"/>
        </w:rPr>
        <w:t xml:space="preserve"> loan was fully repaid on December 31, 2024.</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During 2025, ECARX (Hubei) Tech also obtained US$84,084 loan from Geely Group and was fully repaid before December 31, 2025.</w:t>
      </w:r>
    </w:p>
    <w:p>
      <w:pPr>
        <w:spacing w:after="0" w:line="244" w:lineRule="exact"/>
        <w:rPr>
          <w:sz w:val="20"/>
          <w:szCs w:val="20"/>
          <w:color w:val="auto"/>
        </w:rPr>
      </w:pPr>
    </w:p>
    <w:p>
      <w:pPr>
        <w:ind w:left="400" w:right="40"/>
        <w:spacing w:after="0" w:line="271" w:lineRule="auto"/>
        <w:rPr>
          <w:sz w:val="20"/>
          <w:szCs w:val="20"/>
          <w:color w:val="auto"/>
        </w:rPr>
      </w:pPr>
      <w:r>
        <w:rPr>
          <w:rFonts w:ascii="Times New Roman" w:cs="Times New Roman" w:eastAsia="Times New Roman" w:hAnsi="Times New Roman"/>
          <w:sz w:val="14"/>
          <w:szCs w:val="14"/>
          <w:color w:val="231F20"/>
        </w:rPr>
        <w:t>In January 2025, ECARX (Hubei) Tech obtained a renewed loan in an amount of US$</w:t>
      </w:r>
      <w:r>
        <w:rPr>
          <w:rFonts w:ascii="Times New Roman" w:cs="Times New Roman" w:eastAsia="Times New Roman" w:hAnsi="Times New Roman"/>
          <w:sz w:val="14"/>
          <w:szCs w:val="14"/>
          <w:color w:val="000000"/>
        </w:rPr>
        <w:t>27,252</w:t>
      </w:r>
      <w:r>
        <w:rPr>
          <w:rFonts w:ascii="Times New Roman" w:cs="Times New Roman" w:eastAsia="Times New Roman" w:hAnsi="Times New Roman"/>
          <w:sz w:val="14"/>
          <w:szCs w:val="14"/>
          <w:color w:val="231F20"/>
        </w:rPr>
        <w:t xml:space="preserve"> loan from Geely Group bearing interest rate of 3.9% per annum. In March 2025, the Group entered into a debt assignment and offset agreement with Geely Group and its subsidiaries with respect to assignment and offset of the loan and accounts receivable from Geely Group and its subsidiaries amounting to US$</w:t>
      </w:r>
      <w:r>
        <w:rPr>
          <w:rFonts w:ascii="Times New Roman" w:cs="Times New Roman" w:eastAsia="Times New Roman" w:hAnsi="Times New Roman"/>
          <w:sz w:val="14"/>
          <w:szCs w:val="14"/>
          <w:color w:val="000000"/>
        </w:rPr>
        <w:t>4,919</w:t>
      </w:r>
      <w:r>
        <w:rPr>
          <w:rFonts w:ascii="Times New Roman" w:cs="Times New Roman" w:eastAsia="Times New Roman" w:hAnsi="Times New Roman"/>
          <w:sz w:val="14"/>
          <w:szCs w:val="14"/>
          <w:color w:val="231F20"/>
        </w:rPr>
        <w:t>. In September 2025, the Group entered into another debt assignment and offset agreement with Geely Group and Hubei ECARX with respect to assignment and offset of the loan due to Geely Group and loan due from Hubei ECARX amounting to US$</w:t>
      </w:r>
      <w:r>
        <w:rPr>
          <w:rFonts w:ascii="Times New Roman" w:cs="Times New Roman" w:eastAsia="Times New Roman" w:hAnsi="Times New Roman"/>
          <w:sz w:val="14"/>
          <w:szCs w:val="14"/>
          <w:color w:val="000000"/>
        </w:rPr>
        <w:t>24,496</w:t>
      </w:r>
      <w:r>
        <w:rPr>
          <w:rFonts w:ascii="Times New Roman" w:cs="Times New Roman" w:eastAsia="Times New Roman" w:hAnsi="Times New Roman"/>
          <w:sz w:val="14"/>
          <w:szCs w:val="14"/>
          <w:color w:val="231F20"/>
        </w:rPr>
        <w:t>. Following these offsets, the loan due to Geely group was fully cleared and no balance remained as at December 31, 2025.</w:t>
      </w:r>
    </w:p>
    <w:p>
      <w:pPr>
        <w:spacing w:after="0" w:line="198" w:lineRule="exact"/>
        <w:rPr>
          <w:sz w:val="20"/>
          <w:szCs w:val="20"/>
          <w:color w:val="auto"/>
        </w:rPr>
      </w:pPr>
    </w:p>
    <w:p>
      <w:pPr>
        <w:ind w:left="400" w:right="180"/>
        <w:spacing w:after="0" w:line="251" w:lineRule="auto"/>
        <w:rPr>
          <w:sz w:val="20"/>
          <w:szCs w:val="20"/>
          <w:color w:val="auto"/>
        </w:rPr>
      </w:pPr>
      <w:r>
        <w:rPr>
          <w:rFonts w:ascii="Times New Roman" w:cs="Times New Roman" w:eastAsia="Times New Roman" w:hAnsi="Times New Roman"/>
          <w:sz w:val="14"/>
          <w:szCs w:val="14"/>
          <w:color w:val="231F20"/>
        </w:rPr>
        <w:t xml:space="preserve">In March 2024, the Group entered into an accounts receivable factoring agreement with a finance company of Geely Group with a minimum interest rate of </w:t>
      </w:r>
      <w:r>
        <w:rPr>
          <w:rFonts w:ascii="Times New Roman" w:cs="Times New Roman" w:eastAsia="Times New Roman" w:hAnsi="Times New Roman"/>
          <w:sz w:val="14"/>
          <w:szCs w:val="14"/>
          <w:color w:val="000000"/>
        </w:rPr>
        <w:t>6.0%</w:t>
      </w:r>
      <w:r>
        <w:rPr>
          <w:rFonts w:ascii="Times New Roman" w:cs="Times New Roman" w:eastAsia="Times New Roman" w:hAnsi="Times New Roman"/>
          <w:sz w:val="14"/>
          <w:szCs w:val="14"/>
          <w:color w:val="231F20"/>
        </w:rPr>
        <w:t xml:space="preserve"> per annum. In October 2024, the interest rate was reduced to </w:t>
      </w:r>
      <w:r>
        <w:rPr>
          <w:rFonts w:ascii="Times New Roman" w:cs="Times New Roman" w:eastAsia="Times New Roman" w:hAnsi="Times New Roman"/>
          <w:sz w:val="14"/>
          <w:szCs w:val="14"/>
          <w:color w:val="000000"/>
        </w:rPr>
        <w:t>4.8%</w:t>
      </w:r>
      <w:r>
        <w:rPr>
          <w:rFonts w:ascii="Times New Roman" w:cs="Times New Roman" w:eastAsia="Times New Roman" w:hAnsi="Times New Roman"/>
          <w:sz w:val="14"/>
          <w:szCs w:val="14"/>
          <w:color w:val="231F20"/>
        </w:rPr>
        <w:t xml:space="preserve"> per annum and the factoring limits were increased from US$</w:t>
      </w:r>
      <w:r>
        <w:rPr>
          <w:rFonts w:ascii="Times New Roman" w:cs="Times New Roman" w:eastAsia="Times New Roman" w:hAnsi="Times New Roman"/>
          <w:sz w:val="14"/>
          <w:szCs w:val="14"/>
          <w:color w:val="000000"/>
        </w:rPr>
        <w:t>20,528</w:t>
      </w:r>
      <w:r>
        <w:rPr>
          <w:rFonts w:ascii="Times New Roman" w:cs="Times New Roman" w:eastAsia="Times New Roman" w:hAnsi="Times New Roman"/>
          <w:sz w:val="14"/>
          <w:szCs w:val="14"/>
          <w:color w:val="231F20"/>
        </w:rPr>
        <w:t xml:space="preserve"> to US$</w:t>
      </w:r>
      <w:r>
        <w:rPr>
          <w:rFonts w:ascii="Times New Roman" w:cs="Times New Roman" w:eastAsia="Times New Roman" w:hAnsi="Times New Roman"/>
          <w:sz w:val="14"/>
          <w:szCs w:val="14"/>
          <w:color w:val="000000"/>
        </w:rPr>
        <w:t>35,035</w:t>
      </w:r>
      <w:r>
        <w:rPr>
          <w:rFonts w:ascii="Times New Roman" w:cs="Times New Roman" w:eastAsia="Times New Roman" w:hAnsi="Times New Roman"/>
          <w:sz w:val="14"/>
          <w:szCs w:val="14"/>
          <w:color w:val="231F20"/>
        </w:rPr>
        <w:t xml:space="preserve"> (Note 5). The Group received US$</w:t>
      </w:r>
      <w:r>
        <w:rPr>
          <w:rFonts w:ascii="Times New Roman" w:cs="Times New Roman" w:eastAsia="Times New Roman" w:hAnsi="Times New Roman"/>
          <w:sz w:val="14"/>
          <w:szCs w:val="14"/>
          <w:color w:val="000000"/>
        </w:rPr>
        <w:t>41,549</w:t>
      </w:r>
      <w:r>
        <w:rPr>
          <w:rFonts w:ascii="Times New Roman" w:cs="Times New Roman" w:eastAsia="Times New Roman" w:hAnsi="Times New Roman"/>
          <w:sz w:val="14"/>
          <w:szCs w:val="14"/>
          <w:color w:val="231F20"/>
        </w:rPr>
        <w:t xml:space="preserve"> in aggregate from the finance company, and US$</w:t>
      </w:r>
      <w:r>
        <w:rPr>
          <w:rFonts w:ascii="Times New Roman" w:cs="Times New Roman" w:eastAsia="Times New Roman" w:hAnsi="Times New Roman"/>
          <w:sz w:val="14"/>
          <w:szCs w:val="14"/>
          <w:color w:val="000000"/>
        </w:rPr>
        <w:t>20,528</w:t>
      </w:r>
      <w:r>
        <w:rPr>
          <w:rFonts w:ascii="Times New Roman" w:cs="Times New Roman" w:eastAsia="Times New Roman" w:hAnsi="Times New Roman"/>
          <w:sz w:val="14"/>
          <w:szCs w:val="14"/>
          <w:color w:val="231F20"/>
        </w:rPr>
        <w:t xml:space="preserve"> was repaid during the year of 2024. During 2025, the interest rate was increased to 5.0% per annum, while the factoring limit remained unchanged. The Group received US$</w:t>
      </w:r>
      <w:r>
        <w:rPr>
          <w:rFonts w:ascii="Times New Roman" w:cs="Times New Roman" w:eastAsia="Times New Roman" w:hAnsi="Times New Roman"/>
          <w:sz w:val="14"/>
          <w:szCs w:val="14"/>
          <w:color w:val="000000"/>
        </w:rPr>
        <w:t>77,159</w:t>
      </w:r>
      <w:r>
        <w:rPr>
          <w:rFonts w:ascii="Times New Roman" w:cs="Times New Roman" w:eastAsia="Times New Roman" w:hAnsi="Times New Roman"/>
          <w:sz w:val="14"/>
          <w:szCs w:val="14"/>
          <w:color w:val="231F20"/>
        </w:rPr>
        <w:t xml:space="preserve"> in aggregate from the finance company, of which US$</w:t>
      </w:r>
      <w:r>
        <w:rPr>
          <w:rFonts w:ascii="Times New Roman" w:cs="Times New Roman" w:eastAsia="Times New Roman" w:hAnsi="Times New Roman"/>
          <w:sz w:val="14"/>
          <w:szCs w:val="14"/>
          <w:color w:val="000000"/>
        </w:rPr>
        <w:t>69,888</w:t>
      </w:r>
      <w:r>
        <w:rPr>
          <w:rFonts w:ascii="Times New Roman" w:cs="Times New Roman" w:eastAsia="Times New Roman" w:hAnsi="Times New Roman"/>
          <w:sz w:val="14"/>
          <w:szCs w:val="14"/>
          <w:color w:val="231F20"/>
        </w:rPr>
        <w:t xml:space="preserve"> was repaid prior to December 31, 2025. </w:t>
      </w:r>
      <w:r>
        <w:rPr>
          <w:rFonts w:ascii="Times New Roman" w:cs="Times New Roman" w:eastAsia="Times New Roman" w:hAnsi="Times New Roman"/>
          <w:sz w:val="14"/>
          <w:szCs w:val="14"/>
          <w:color w:val="000000"/>
        </w:rPr>
        <w:t>The remaining balances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were US$21,021 and US$28,292 as of December 31, 2024 and 2025, respectively.</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231F20"/>
        </w:rPr>
        <w:t>Interest expense on borrowings from related parties were US$1,717, US$2,165 and US$1,818 for the years ended December 31, 2023, 2024 and 2025, respectively.</w:t>
      </w:r>
    </w:p>
    <w:p>
      <w:pPr>
        <w:spacing w:after="0" w:line="231" w:lineRule="exact"/>
        <w:rPr>
          <w:sz w:val="20"/>
          <w:szCs w:val="20"/>
          <w:color w:val="auto"/>
        </w:rPr>
      </w:pPr>
    </w:p>
    <w:p>
      <w:pPr>
        <w:ind w:left="400" w:right="280"/>
        <w:spacing w:after="0" w:line="302" w:lineRule="auto"/>
        <w:rPr>
          <w:sz w:val="20"/>
          <w:szCs w:val="20"/>
          <w:color w:val="auto"/>
        </w:rPr>
      </w:pPr>
      <w:r>
        <w:rPr>
          <w:rFonts w:ascii="Times New Roman" w:cs="Times New Roman" w:eastAsia="Times New Roman" w:hAnsi="Times New Roman"/>
          <w:sz w:val="14"/>
          <w:szCs w:val="14"/>
          <w:color w:val="231F20"/>
        </w:rPr>
        <w:t>The borrowings and the interest payable on borrowings from related parties was included in the amounts due to related parties and was US$1,320 and US$423 as of December 31, 2024 and 2025, respectively.</w:t>
      </w:r>
    </w:p>
    <w:p>
      <w:pPr>
        <w:spacing w:after="0" w:line="175" w:lineRule="exact"/>
        <w:rPr>
          <w:sz w:val="20"/>
          <w:szCs w:val="20"/>
          <w:color w:val="auto"/>
        </w:rPr>
      </w:pPr>
    </w:p>
    <w:p>
      <w:pPr>
        <w:ind w:left="400" w:right="40" w:hanging="328"/>
        <w:spacing w:after="0" w:line="251" w:lineRule="auto"/>
        <w:tabs>
          <w:tab w:leader="none" w:pos="39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w:t>
      </w:r>
      <w:r>
        <w:rPr>
          <w:rFonts w:ascii="Times New Roman" w:cs="Times New Roman" w:eastAsia="Times New Roman" w:hAnsi="Times New Roman"/>
          <w:sz w:val="14"/>
          <w:szCs w:val="14"/>
          <w:color w:val="231F20"/>
        </w:rPr>
        <w:t>December 31, 2024</w:t>
      </w:r>
      <w:r>
        <w:rPr>
          <w:rFonts w:ascii="Times New Roman" w:cs="Times New Roman" w:eastAsia="Times New Roman" w:hAnsi="Times New Roman"/>
          <w:sz w:val="14"/>
          <w:szCs w:val="14"/>
          <w:color w:val="auto"/>
        </w:rPr>
        <w:t xml:space="preserve">, the balance of other non-current assets due from related parties included the amounts due from its former VIE, Hubei ECARX in the amount of US$32,090, which represented the net present value of a loan provided by the Group to Hubei ECARX with the principal of US$39,822 and an effective annual interest rate of 5.0%. Pursuant to the debt assignment and offset agreement noted in (iv) above, the Group waived a debt of US$873 owed by Hubei ECARX, as a result, amounts due from Hubei ECARX of US$10,040 was included within amounts due from related parties as of </w:t>
      </w:r>
      <w:r>
        <w:rPr>
          <w:rFonts w:ascii="Times New Roman" w:cs="Times New Roman" w:eastAsia="Times New Roman" w:hAnsi="Times New Roman"/>
          <w:sz w:val="14"/>
          <w:szCs w:val="14"/>
          <w:color w:val="231F20"/>
        </w:rPr>
        <w:t>December 31,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Interest incomes on loans due from related parties were US$</w:t>
      </w:r>
      <w:r>
        <w:rPr>
          <w:rFonts w:ascii="Times New Roman" w:cs="Times New Roman" w:eastAsia="Times New Roman" w:hAnsi="Times New Roman"/>
          <w:sz w:val="14"/>
          <w:szCs w:val="14"/>
          <w:color w:val="auto"/>
        </w:rPr>
        <w:t>1,504</w:t>
      </w:r>
      <w:r>
        <w:rPr>
          <w:rFonts w:ascii="Times New Roman" w:cs="Times New Roman" w:eastAsia="Times New Roman" w:hAnsi="Times New Roman"/>
          <w:sz w:val="14"/>
          <w:szCs w:val="14"/>
          <w:color w:val="231F20"/>
        </w:rPr>
        <w:t>, US$</w:t>
      </w:r>
      <w:r>
        <w:rPr>
          <w:rFonts w:ascii="Times New Roman" w:cs="Times New Roman" w:eastAsia="Times New Roman" w:hAnsi="Times New Roman"/>
          <w:sz w:val="14"/>
          <w:szCs w:val="14"/>
          <w:color w:val="auto"/>
        </w:rPr>
        <w:t xml:space="preserve">1,561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US$</w:t>
      </w:r>
      <w:r>
        <w:rPr>
          <w:rFonts w:ascii="Times New Roman" w:cs="Times New Roman" w:eastAsia="Times New Roman" w:hAnsi="Times New Roman"/>
          <w:sz w:val="14"/>
          <w:szCs w:val="14"/>
          <w:color w:val="000000"/>
        </w:rPr>
        <w:t>2,128</w:t>
      </w:r>
      <w:r>
        <w:rPr>
          <w:rFonts w:ascii="Times New Roman" w:cs="Times New Roman" w:eastAsia="Times New Roman" w:hAnsi="Times New Roman"/>
          <w:sz w:val="14"/>
          <w:szCs w:val="14"/>
          <w:color w:val="231F20"/>
        </w:rPr>
        <w:t xml:space="preserve"> for the years ended December 31, 2023, 2024 and 2025 respectively.</w:t>
      </w:r>
    </w:p>
    <w:p>
      <w:pPr>
        <w:spacing w:after="0" w:line="211" w:lineRule="exact"/>
        <w:rPr>
          <w:rFonts w:ascii="Times New Roman" w:cs="Times New Roman" w:eastAsia="Times New Roman" w:hAnsi="Times New Roman"/>
          <w:sz w:val="14"/>
          <w:szCs w:val="14"/>
          <w:color w:val="auto"/>
        </w:rPr>
      </w:pPr>
    </w:p>
    <w:p>
      <w:pPr>
        <w:ind w:left="400" w:right="2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March 2024, the Group provided software licenses to smart Zhejiang for a total consideration of US$6,748 which is due in three equal annual installments. As of December 31, 2024, amounts due from smart Zhejiang, representing the net present value of the long-term receivables from smart Zhejiang with an effective annual interest rate of 3.95%, of which US$1,862 was included within accounts receivable – related parties and US$4,313 was recorded as other non-current assets – related parties. As of </w:t>
      </w:r>
      <w:r>
        <w:rPr>
          <w:rFonts w:ascii="Times New Roman" w:cs="Times New Roman" w:eastAsia="Times New Roman" w:hAnsi="Times New Roman"/>
          <w:sz w:val="14"/>
          <w:szCs w:val="14"/>
          <w:color w:val="231F20"/>
        </w:rPr>
        <w:t>December 31, 2025</w:t>
      </w:r>
      <w:r>
        <w:rPr>
          <w:rFonts w:ascii="Times New Roman" w:cs="Times New Roman" w:eastAsia="Times New Roman" w:hAnsi="Times New Roman"/>
          <w:sz w:val="14"/>
          <w:szCs w:val="14"/>
          <w:color w:val="auto"/>
        </w:rPr>
        <w:t>, US$4,873 was included within accounts receivable - related parties, with the repayment date advanced to June 30, 2026 pursuant to the supplementary agreement.</w:t>
      </w: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337" w:right="359" w:bottom="1440" w:gutter="0" w:footer="0" w:header="0"/>
        </w:sectPr>
      </w:pPr>
    </w:p>
    <w:bookmarkStart w:id="195" w:name="page196"/>
    <w:bookmarkEnd w:id="195"/>
    <w:p>
      <w:pPr>
        <w:ind w:left="25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52" w:hanging="328"/>
        <w:spacing w:after="0" w:line="261" w:lineRule="auto"/>
        <w:tabs>
          <w:tab w:leader="none" w:pos="644" w:val="left"/>
        </w:tabs>
        <w:numPr>
          <w:ilvl w:val="1"/>
          <w:numId w:val="10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 xml:space="preserve">Other income from related parties represents the amounts due from Arteus for recharges of expenses including those in relation to management service, sharing of office space, consultancy and other expenses paid by the Group on behalf of Arteus Group Limited. In June 2023, ECARX signed an assignment of rights agreement with Arteus and DreamSmart. The amounts due from Arteus were assigned to DreamSmart, all of which were settled as of </w:t>
      </w:r>
      <w:r>
        <w:rPr>
          <w:rFonts w:ascii="Times New Roman" w:cs="Times New Roman" w:eastAsia="Times New Roman" w:hAnsi="Times New Roman"/>
          <w:sz w:val="14"/>
          <w:szCs w:val="14"/>
          <w:color w:val="231F20"/>
        </w:rPr>
        <w:t>December 31, 2024</w:t>
      </w:r>
      <w:r>
        <w:rPr>
          <w:rFonts w:ascii="Times New Roman" w:cs="Times New Roman" w:eastAsia="Times New Roman" w:hAnsi="Times New Roman"/>
          <w:sz w:val="14"/>
          <w:szCs w:val="14"/>
          <w:color w:val="auto"/>
        </w:rPr>
        <w:t>.</w:t>
      </w:r>
    </w:p>
    <w:p>
      <w:pPr>
        <w:spacing w:after="0" w:line="176" w:lineRule="exact"/>
        <w:rPr>
          <w:rFonts w:ascii="Times New Roman" w:cs="Times New Roman" w:eastAsia="Times New Roman" w:hAnsi="Times New Roman"/>
          <w:sz w:val="14"/>
          <w:szCs w:val="14"/>
          <w:color w:val="231F20"/>
        </w:rPr>
      </w:pPr>
    </w:p>
    <w:p>
      <w:pPr>
        <w:ind w:left="652" w:right="20" w:hanging="328"/>
        <w:spacing w:after="0" w:line="251" w:lineRule="auto"/>
        <w:tabs>
          <w:tab w:leader="none" w:pos="643"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November 2023, the Group entered into a licensing agreement with Xingji Meizu, pursuant to which, the Group obtained a non-exclusive license under certain software of Xingji Meizu to develop and sell these software worldwide for three years. The consideration is due by three equal annual installments of US$7,007. As of </w:t>
      </w:r>
      <w:r>
        <w:rPr>
          <w:rFonts w:ascii="Times New Roman" w:cs="Times New Roman" w:eastAsia="Times New Roman" w:hAnsi="Times New Roman"/>
          <w:sz w:val="14"/>
          <w:szCs w:val="14"/>
          <w:color w:val="231F20"/>
        </w:rPr>
        <w:t>December 31, 2024</w:t>
      </w:r>
      <w:r>
        <w:rPr>
          <w:rFonts w:ascii="Times New Roman" w:cs="Times New Roman" w:eastAsia="Times New Roman" w:hAnsi="Times New Roman"/>
          <w:sz w:val="14"/>
          <w:szCs w:val="14"/>
          <w:color w:val="auto"/>
        </w:rPr>
        <w:t xml:space="preserve">, amounts due to Xingji Meizu of US$6,474 was included within accounts payable – related parties. In May 2025, the Group entered into a modification agreement with Xingji Meizu, both parties agree to extend the license for additional 8 years from the modification date to November 2033 on an exclusive basis for no additional consideration, and the remaining installments were fully paid during the year ended </w:t>
      </w:r>
      <w:r>
        <w:rPr>
          <w:rFonts w:ascii="Times New Roman" w:cs="Times New Roman" w:eastAsia="Times New Roman" w:hAnsi="Times New Roman"/>
          <w:sz w:val="14"/>
          <w:szCs w:val="14"/>
          <w:color w:val="231F20"/>
        </w:rPr>
        <w:t>December 31, 2025</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color w:val="auto"/>
        </w:rPr>
      </w:pPr>
    </w:p>
    <w:p>
      <w:pPr>
        <w:ind w:left="652" w:right="40" w:hanging="328"/>
        <w:spacing w:after="0" w:line="248" w:lineRule="auto"/>
        <w:tabs>
          <w:tab w:leader="none" w:pos="643"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November 2025, the Group received US$15,759 from a customer – a subsidiary of Geely Group, as procurement support funds to secure supply chain continuity, which was included in amounts due to related parties as of </w:t>
      </w:r>
      <w:r>
        <w:rPr>
          <w:rFonts w:ascii="Times New Roman" w:cs="Times New Roman" w:eastAsia="Times New Roman" w:hAnsi="Times New Roman"/>
          <w:sz w:val="14"/>
          <w:szCs w:val="14"/>
          <w:color w:val="231F20"/>
        </w:rPr>
        <w:t>December 31, 2025</w:t>
      </w:r>
      <w:r>
        <w:rPr>
          <w:rFonts w:ascii="Times New Roman" w:cs="Times New Roman" w:eastAsia="Times New Roman" w:hAnsi="Times New Roman"/>
          <w:sz w:val="14"/>
          <w:szCs w:val="14"/>
          <w:color w:val="auto"/>
        </w:rPr>
        <w:t xml:space="preserve">. Amid a global shortage of memory chips at year-end, the Group made prepayments totaling US$26,504 to Xingji Meizu, to ensure the supply of critical chips and prevent delivery disruptions to Geely Group, prompting the Group to obtain temporary funding from Geely Group to support supply chain stability, which was included in amounts due from related parties as of </w:t>
      </w:r>
      <w:r>
        <w:rPr>
          <w:rFonts w:ascii="Times New Roman" w:cs="Times New Roman" w:eastAsia="Times New Roman" w:hAnsi="Times New Roman"/>
          <w:sz w:val="14"/>
          <w:szCs w:val="14"/>
          <w:color w:val="231F20"/>
        </w:rPr>
        <w:t>December 31, 2025</w:t>
      </w:r>
      <w:r>
        <w:rPr>
          <w:rFonts w:ascii="Times New Roman" w:cs="Times New Roman" w:eastAsia="Times New Roman" w:hAnsi="Times New Roman"/>
          <w:sz w:val="14"/>
          <w:szCs w:val="14"/>
          <w:color w:val="auto"/>
        </w:rPr>
        <w:t>.</w:t>
      </w:r>
    </w:p>
    <w:p>
      <w:pPr>
        <w:spacing w:after="0" w:line="185"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332" w:right="60"/>
        <w:spacing w:after="0" w:line="261" w:lineRule="auto"/>
        <w:rPr>
          <w:sz w:val="20"/>
          <w:szCs w:val="20"/>
          <w:color w:val="auto"/>
        </w:rPr>
      </w:pPr>
      <w:r>
        <w:rPr>
          <w:rFonts w:ascii="Times New Roman" w:cs="Times New Roman" w:eastAsia="Times New Roman" w:hAnsi="Times New Roman"/>
          <w:sz w:val="18"/>
          <w:szCs w:val="18"/>
          <w:color w:val="auto"/>
        </w:rPr>
        <w:t>The Group is comprised of a single reportable segment organized around automotive technology and connectivity services. for smart vehicles. The Group generates revenues from its technology products and services using its capabilities in delivering turnkey solutions for next-generation smart vehicles, system on a chip, central computing platforms and software. The Group derives its revenue primarily in PRC and manages its activities on a consolidated basis.</w:t>
      </w:r>
    </w:p>
    <w:p>
      <w:pPr>
        <w:spacing w:after="0" w:line="180"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is the Chief Executive Officer, who reviews consolidated results when making decisions about allocating resources and assessing performance of the Group. For the purpose of internal reporting and management’s operation review, the Group’s chief executive officer does not segregate the Group’s business by product or service.</w:t>
      </w:r>
    </w:p>
    <w:p>
      <w:pPr>
        <w:spacing w:after="0" w:line="193" w:lineRule="exact"/>
        <w:rPr>
          <w:sz w:val="20"/>
          <w:szCs w:val="20"/>
          <w:color w:val="auto"/>
        </w:rPr>
      </w:pPr>
    </w:p>
    <w:p>
      <w:pPr>
        <w:ind w:left="332" w:right="320"/>
        <w:spacing w:after="0" w:line="266" w:lineRule="auto"/>
        <w:rPr>
          <w:sz w:val="20"/>
          <w:szCs w:val="20"/>
          <w:color w:val="auto"/>
        </w:rPr>
      </w:pPr>
      <w:r>
        <w:rPr>
          <w:rFonts w:ascii="Times New Roman" w:cs="Times New Roman" w:eastAsia="Times New Roman" w:hAnsi="Times New Roman"/>
          <w:sz w:val="18"/>
          <w:szCs w:val="18"/>
          <w:color w:val="auto"/>
        </w:rPr>
        <w:t>The Group’s long-lived assets are substantially all located in the PRC and substantially all the Group’s revenues are derived from within the PRC, therefore, no geographical information is presented.</w:t>
      </w:r>
    </w:p>
    <w:p>
      <w:pPr>
        <w:spacing w:after="0" w:line="176" w:lineRule="exact"/>
        <w:rPr>
          <w:sz w:val="20"/>
          <w:szCs w:val="20"/>
          <w:color w:val="auto"/>
        </w:rPr>
      </w:pPr>
    </w:p>
    <w:p>
      <w:pPr>
        <w:ind w:left="332" w:right="180"/>
        <w:spacing w:after="0" w:line="282" w:lineRule="auto"/>
        <w:rPr>
          <w:sz w:val="20"/>
          <w:szCs w:val="20"/>
          <w:color w:val="auto"/>
        </w:rPr>
      </w:pPr>
      <w:r>
        <w:rPr>
          <w:rFonts w:ascii="Times New Roman" w:cs="Times New Roman" w:eastAsia="Times New Roman" w:hAnsi="Times New Roman"/>
          <w:sz w:val="18"/>
          <w:szCs w:val="18"/>
          <w:color w:val="auto"/>
        </w:rPr>
        <w:t>The CODM evaluates performance for its single reportable segment based on total revenues, gross profit, operating expenses excluding share-based compensation expense and loss from operation.</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following table presents financial information with respect to the Group’s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37" w:right="419" w:bottom="1440" w:gutter="0" w:footer="0" w:header="0"/>
        </w:sectPr>
      </w:pPr>
    </w:p>
    <w:bookmarkStart w:id="196" w:name="page197"/>
    <w:bookmarkEnd w:id="196"/>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662,226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847,858</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(611,431)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(686,596)</w:t>
            </w:r>
          </w:p>
        </w:tc>
      </w:tr>
      <w:tr>
        <w:trPr>
          <w:trHeight w:val="27"/>
        </w:trPr>
        <w:tc>
          <w:tcPr>
            <w:tcW w:w="6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161,262</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share-based compensation expense</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(302,051)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(229,376)</w:t>
            </w: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(308,634)</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(282,995)</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(216,035)</w:t>
            </w:r>
          </w:p>
        </w:tc>
      </w:tr>
      <w:tr>
        <w:trPr>
          <w:trHeight w:val="27"/>
        </w:trPr>
        <w:tc>
          <w:tcPr>
            <w:tcW w:w="6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(130,016)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(122,896)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(54,773)</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equity method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(expenses) income , net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(144,424)</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(137,541)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(67,695)</w:t>
            </w:r>
          </w:p>
        </w:tc>
      </w:tr>
      <w:tr>
        <w:trPr>
          <w:trHeight w:val="27"/>
        </w:trPr>
        <w:tc>
          <w:tcPr>
            <w:tcW w:w="6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(143,899)</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(137,751)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(68,939)</w:t>
            </w:r>
          </w:p>
        </w:tc>
      </w:tr>
      <w:tr>
        <w:trPr>
          <w:trHeight w:val="27"/>
        </w:trPr>
        <w:tc>
          <w:tcPr>
            <w:tcW w:w="60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hanging="8"/>
        <w:spacing w:after="0" w:line="221" w:lineRule="auto"/>
        <w:tabs>
          <w:tab w:leader="none" w:pos="410" w:val="left"/>
        </w:tabs>
        <w:numPr>
          <w:ilvl w:val="0"/>
          <w:numId w:val="1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measure is not in accordance with, or an alternative to GAAP. The Group excludes share-based compensation expense since it is non-cash in nature and its valuation and measurement depends on factors such as volatility not reflective of the Group’s operating performance.</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Major Customer</w:t>
      </w:r>
    </w:p>
    <w:p>
      <w:pPr>
        <w:spacing w:after="0" w:line="227"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Revenues from a group of customer entities under common control in the segment represented US$537,053, US$671,982, US$754,462, or 81.0%, 87.1% and 89.0% for the years ended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Subsequent Events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of investment in U Chance</w:t>
      </w:r>
    </w:p>
    <w:p>
      <w:pPr>
        <w:spacing w:after="0" w:line="254" w:lineRule="exact"/>
        <w:rPr>
          <w:sz w:val="20"/>
          <w:szCs w:val="20"/>
          <w:color w:val="auto"/>
        </w:rPr>
      </w:pPr>
    </w:p>
    <w:p>
      <w:pPr>
        <w:ind w:left="340" w:right="520"/>
        <w:spacing w:after="0" w:line="266" w:lineRule="auto"/>
        <w:rPr>
          <w:sz w:val="20"/>
          <w:szCs w:val="20"/>
          <w:color w:val="auto"/>
        </w:rPr>
      </w:pPr>
      <w:r>
        <w:rPr>
          <w:rFonts w:ascii="Times New Roman" w:cs="Times New Roman" w:eastAsia="Times New Roman" w:hAnsi="Times New Roman"/>
          <w:sz w:val="18"/>
          <w:szCs w:val="18"/>
          <w:color w:val="auto"/>
        </w:rPr>
        <w:t>In January 2026, the Group disposed of its entire equity interest in U Chance to Dongjun Group for a consideration of RMB6,132 (equivalent to US$878).</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Unsecured loan to Xingji Meizu</w:t>
      </w:r>
    </w:p>
    <w:p>
      <w:pPr>
        <w:spacing w:after="0" w:line="254"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In March 2026, the Group entered into an unsecured loan agreement to provide a loan to Xingji Meizu in an amount of RMB100,000 (equivalent to US$14,326) with an interest rate of 4.06% per annum and maturity date of June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Parent only financial information</w:t>
      </w:r>
    </w:p>
    <w:p>
      <w:pPr>
        <w:spacing w:after="0" w:line="229"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The following condensed financial statements of the Company have been prepared using the same accounting policies as set out in the accompanying consolidated financial statements. As of December 31, 2025, there were no material contingencies, significant provisions of long-term obligations, mandatory dividend or redemption requirements of convertible redeemable preferred shares or guarantees of the Company, except for those, which have been separately disclosed in the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97" w:name="page198"/>
    <w:bookmarkEnd w:id="197"/>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Condensed Balance Sheets</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75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7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31,158</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664,784</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696,791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17,507</w:t>
            </w:r>
          </w:p>
        </w:tc>
      </w:tr>
      <w:tr>
        <w:trPr>
          <w:trHeight w:val="26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630,162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714,298</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75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payable, current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67,631</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losses in excess of investments in subsidiaries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818,646</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868,629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935,554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payable, non-current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61,408</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869,830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996,962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(30,004)</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958,052</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(1,190,495)</w:t>
            </w:r>
          </w:p>
        </w:tc>
      </w:tr>
      <w:tr>
        <w:trPr>
          <w:trHeight w:val="27"/>
        </w:trPr>
        <w:tc>
          <w:tcPr>
            <w:tcW w:w="7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w:t>
            </w: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(239,668)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(282,664)</w:t>
            </w:r>
          </w:p>
        </w:tc>
      </w:tr>
      <w:tr>
        <w:trPr>
          <w:trHeight w:val="27"/>
        </w:trPr>
        <w:tc>
          <w:tcPr>
            <w:tcW w:w="7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630,162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714,298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337" w:right="7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7" w:right="739" w:bottom="1440" w:gutter="0" w:footer="0" w:header="0"/>
          <w:type w:val="continuous"/>
        </w:sectPr>
      </w:pPr>
    </w:p>
    <w:bookmarkStart w:id="198" w:name="page199"/>
    <w:bookmarkEnd w:id="198"/>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ECARX HOLDINGS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Condensed statements of comprehensive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of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82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losses from subsidiaries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(133,315)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(66,043)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expenses</w:t>
            </w:r>
          </w:p>
        </w:tc>
        <w:tc>
          <w:tcPr>
            <w:tcW w:w="1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(133,315)</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(66,043)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  Condensed statements of cash flows</w:t>
            </w:r>
          </w:p>
        </w:tc>
        <w:tc>
          <w:tcPr>
            <w:tcW w:w="1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82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820" w:type="dxa"/>
            <w:vAlign w:val="bottom"/>
            <w:gridSpan w:val="2"/>
          </w:tcPr>
          <w:p>
            <w:pPr>
              <w:spacing w:after="0"/>
              <w:rPr>
                <w:sz w:val="3"/>
                <w:szCs w:val="3"/>
                <w:color w:val="auto"/>
              </w:rPr>
            </w:pPr>
          </w:p>
        </w:tc>
        <w:tc>
          <w:tcPr>
            <w:tcW w:w="1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1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the year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at end of the year</w:t>
            </w:r>
          </w:p>
        </w:tc>
        <w:tc>
          <w:tcPr>
            <w:tcW w:w="1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20" w:type="dxa"/>
            <w:vAlign w:val="bottom"/>
            <w:gridSpan w:val="2"/>
          </w:tcPr>
          <w:p>
            <w:pPr>
              <w:jc w:val="right"/>
              <w:ind w:right="1896"/>
              <w:spacing w:after="0"/>
              <w:rPr>
                <w:sz w:val="20"/>
                <w:szCs w:val="20"/>
                <w:color w:val="auto"/>
              </w:rPr>
            </w:pPr>
            <w:r>
              <w:rPr>
                <w:rFonts w:ascii="Times New Roman" w:cs="Times New Roman" w:eastAsia="Times New Roman" w:hAnsi="Times New Roman"/>
                <w:sz w:val="18"/>
                <w:szCs w:val="18"/>
                <w:color w:val="auto"/>
              </w:rPr>
              <w:t>F-69</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337" w:right="739" w:bottom="1440" w:gutter="0" w:footer="0" w:header="0"/>
        </w:sectPr>
      </w:pPr>
    </w:p>
    <w:bookmarkStart w:id="199" w:name="page200"/>
    <w:bookmarkEnd w:id="199"/>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20"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October 30, 2025, is by and among ECARX Holdings Inc., an exempted company incorporated under the laws of the Cayman Islands with offices located at International House, 1 St. Katharine’s Way, London E1W 1UN, United Kingdom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each of the investors listed on the Schedule of Buyers attached hereto (individually, a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Buyers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5"/>
        <w:spacing w:after="0" w:line="253" w:lineRule="auto"/>
        <w:tabs>
          <w:tab w:leader="none" w:pos="128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Buyer desire to enter into this transaction to purchase Notes (as defined below) pursuant to a currently effective shelf registration statement on Form F-3, which has sufficient availability for the issuance of the Securities (as defined below) on each Closing Date (as defined below) (Registration Number 333-288811)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and has been declared effective in accordance with the Securities Act of 1933, as amended, (the “</w:t>
      </w:r>
      <w:r>
        <w:rPr>
          <w:rFonts w:ascii="Times New Roman" w:cs="Times New Roman" w:eastAsia="Times New Roman" w:hAnsi="Times New Roman"/>
          <w:sz w:val="22"/>
          <w:szCs w:val="22"/>
          <w:b w:val="1"/>
          <w:bCs w:val="1"/>
          <w:color w:val="auto"/>
        </w:rPr>
        <w:t>1933 Act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5"/>
        <w:spacing w:after="0" w:line="248" w:lineRule="auto"/>
        <w:tabs>
          <w:tab w:leader="none" w:pos="129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authorized one or more new series of senior convertible notes of the Company (with a new series of senior convertible notes to be established for each Closing (as defined below) hereunder), in the aggregate original principal amount of up to $150,000,000, substantially in the form attached hereto as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which Notes shall be convertible into Ordinary Shares (as defined below) (the Ordinary Shares issuable pursuant to the terms of the Notes, including, without limitation, upon conversion or otherwise, collectively, the “</w:t>
      </w:r>
      <w:r>
        <w:rPr>
          <w:rFonts w:ascii="Times New Roman" w:cs="Times New Roman" w:eastAsia="Times New Roman" w:hAnsi="Times New Roman"/>
          <w:sz w:val="22"/>
          <w:szCs w:val="22"/>
          <w:b w:val="1"/>
          <w:bCs w:val="1"/>
          <w:color w:val="auto"/>
        </w:rPr>
        <w:t>Conversion Shares</w:t>
      </w:r>
      <w:r>
        <w:rPr>
          <w:rFonts w:ascii="Times New Roman" w:cs="Times New Roman" w:eastAsia="Times New Roman" w:hAnsi="Times New Roman"/>
          <w:sz w:val="22"/>
          <w:szCs w:val="22"/>
          <w:color w:val="auto"/>
        </w:rPr>
        <w:t>”), in accordance with the terms of the Notes, and issued pursuant to and by, the provisions of (x) an Indenture dated as of the Initial Closing Date (as defined below), by and between the Company and U.S. Bank Trust Company, National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xml:space="preserve">”), in substantially the form attached hereto as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(as amended and/or supplemented from time to time, including, without limitation, by any Supplemental Indenture (as defined below),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xml:space="preserve">”), and (y) one or more supplemental indentures with respect to the Notes in the form attached hereto as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Supplemental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Supplemental Indentures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55"/>
        <w:spacing w:after="0" w:line="252" w:lineRule="auto"/>
        <w:tabs>
          <w:tab w:leader="none" w:pos="129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Buyer wishes to purchase, and the Company wishes to sell, at the Initial Closing (as defined below), upon the terms and conditions stated in this Agreement, a Note in the aggregate original principal amount set forth opposite such Buyer’s name in column (3) on the Schedule of Buyers (which aggregate principal amount for all Buyers shall not exceed $50 million) (each an “</w:t>
      </w:r>
      <w:r>
        <w:rPr>
          <w:rFonts w:ascii="Times New Roman" w:cs="Times New Roman" w:eastAsia="Times New Roman" w:hAnsi="Times New Roman"/>
          <w:sz w:val="22"/>
          <w:szCs w:val="22"/>
          <w:b w:val="1"/>
          <w:bCs w:val="1"/>
          <w:color w:val="auto"/>
        </w:rPr>
        <w:t>Initial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5"/>
        <w:spacing w:after="0" w:line="250" w:lineRule="auto"/>
        <w:tabs>
          <w:tab w:leader="none" w:pos="128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one or more Buyers may require the Company to participate in one or more Additional Closings (as defined below) for the purchase by such Buyer, and the sale by the Company, of one or more additional Notes with an aggregate original principal amount for all Additional Closings not to exceed the sum of the maximum aggregate principal amounts set forth opposite such Buyer’s name in columns (4) and (5) on the Schedule of Buyers (which aggregate principal amount for all Buyers for all Additional</w:t>
      </w:r>
    </w:p>
    <w:p>
      <w:pPr>
        <w:sectPr>
          <w:pgSz w:w="11900" w:h="16838" w:orient="portrait"/>
          <w:cols w:equalWidth="0" w:num="1">
            <w:col w:w="10920"/>
          </w:cols>
          <w:pgMar w:left="320" w:top="1440" w:right="659" w:bottom="1440" w:gutter="0" w:footer="0" w:header="0"/>
        </w:sectPr>
      </w:pPr>
    </w:p>
    <w:bookmarkStart w:id="200" w:name="page201"/>
    <w:bookmarkEnd w:id="200"/>
    <w:p>
      <w:pPr>
        <w:spacing w:after="0" w:line="4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Closings shall not exceed $100 million) (each an “</w:t>
      </w:r>
      <w:r>
        <w:rPr>
          <w:rFonts w:ascii="Times New Roman" w:cs="Times New Roman" w:eastAsia="Times New Roman" w:hAnsi="Times New Roman"/>
          <w:sz w:val="22"/>
          <w:szCs w:val="22"/>
          <w:b w:val="1"/>
          <w:bCs w:val="1"/>
          <w:color w:val="auto"/>
        </w:rPr>
        <w:t>Additional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Additional Notes</w:t>
      </w:r>
      <w:r>
        <w:rPr>
          <w:rFonts w:ascii="Times New Roman" w:cs="Times New Roman" w:eastAsia="Times New Roman" w:hAnsi="Times New Roman"/>
          <w:sz w:val="22"/>
          <w:szCs w:val="22"/>
          <w:color w:val="auto"/>
        </w:rPr>
        <w:t>” and together with the Initial Notes,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3380" w:firstLine="656"/>
        <w:spacing w:after="0" w:line="271" w:lineRule="auto"/>
        <w:tabs>
          <w:tab w:leader="none" w:pos="101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and the Conversion Shares are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right="220" w:firstLine="647"/>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63"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AND SALE OF NOTES.</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Notes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right="220" w:firstLine="644"/>
        <w:spacing w:after="0" w:line="272" w:lineRule="auto"/>
        <w:tabs>
          <w:tab w:leader="none" w:pos="1944"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of Initial Notes</w:t>
      </w:r>
      <w:r>
        <w:rPr>
          <w:rFonts w:ascii="Times New Roman" w:cs="Times New Roman" w:eastAsia="Times New Roman" w:hAnsi="Times New Roman"/>
          <w:sz w:val="21"/>
          <w:szCs w:val="21"/>
          <w:color w:val="auto"/>
        </w:rPr>
        <w:t xml:space="preserve">. Subject to the satisfaction (or waiver) of the conditions set forth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7(a)</w:t>
      </w:r>
      <w:r>
        <w:rPr>
          <w:rFonts w:ascii="Times New Roman" w:cs="Times New Roman" w:eastAsia="Times New Roman" w:hAnsi="Times New Roman"/>
          <w:sz w:val="21"/>
          <w:szCs w:val="21"/>
          <w:color w:val="auto"/>
        </w:rPr>
        <w:t xml:space="preserve"> below, the Company shall issue and sell to each Buyer, and each Buyer severally, but not jointly, agrees to purchase from the Company on the Initial Closing Date (as defined below), an Initial Note in the original principal amount as is set forth opposite such Buyer’s name in column (3) on the Schedule of Buyers (the “</w:t>
      </w:r>
      <w:r>
        <w:rPr>
          <w:rFonts w:ascii="Times New Roman" w:cs="Times New Roman" w:eastAsia="Times New Roman" w:hAnsi="Times New Roman"/>
          <w:sz w:val="21"/>
          <w:szCs w:val="21"/>
          <w:b w:val="1"/>
          <w:bCs w:val="1"/>
          <w:color w:val="auto"/>
        </w:rPr>
        <w:t>Initial Closing</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left="660" w:right="220" w:firstLine="644"/>
        <w:spacing w:after="0" w:line="253" w:lineRule="auto"/>
        <w:tabs>
          <w:tab w:leader="none" w:pos="195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Additional Notes</w:t>
      </w:r>
      <w:r>
        <w:rPr>
          <w:rFonts w:ascii="Times New Roman" w:cs="Times New Roman" w:eastAsia="Times New Roman" w:hAnsi="Times New Roman"/>
          <w:sz w:val="22"/>
          <w:szCs w:val="22"/>
          <w:color w:val="auto"/>
        </w:rPr>
        <w:t xml:space="preserve">. Subject to the satisfaction (or waiver) of the conditions set forth in </w:t>
      </w:r>
      <w:r>
        <w:rPr>
          <w:rFonts w:ascii="Times New Roman" w:cs="Times New Roman" w:eastAsia="Times New Roman" w:hAnsi="Times New Roman"/>
          <w:sz w:val="22"/>
          <w:szCs w:val="22"/>
          <w:u w:val="single" w:color="auto"/>
          <w:color w:val="auto"/>
        </w:rPr>
        <w:t>Sections 1(b)(ii)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6(b)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7(b)</w:t>
      </w:r>
      <w:r>
        <w:rPr>
          <w:rFonts w:ascii="Times New Roman" w:cs="Times New Roman" w:eastAsia="Times New Roman" w:hAnsi="Times New Roman"/>
          <w:sz w:val="22"/>
          <w:szCs w:val="22"/>
          <w:color w:val="auto"/>
        </w:rPr>
        <w:t xml:space="preserve"> below, the Company shall issue and sell to such Buyer, and such Buyer severally, but not jointly, with any other Buyer, shall purchase from the Company, on the applicable Additional Closing Date (as defined below), such aggregate principal amount of Additional Notes as is set forth in such applicable Additional Closing Notice (as defined below).</w:t>
      </w:r>
    </w:p>
    <w:p>
      <w:pPr>
        <w:spacing w:after="0" w:line="178" w:lineRule="exact"/>
        <w:rPr>
          <w:rFonts w:ascii="Times New Roman" w:cs="Times New Roman" w:eastAsia="Times New Roman" w:hAnsi="Times New Roman"/>
          <w:sz w:val="22"/>
          <w:szCs w:val="22"/>
          <w:color w:val="auto"/>
        </w:rPr>
      </w:pPr>
    </w:p>
    <w:p>
      <w:pPr>
        <w:jc w:val="both"/>
        <w:ind w:right="220" w:firstLine="655"/>
        <w:spacing w:after="0" w:line="257" w:lineRule="auto"/>
        <w:tabs>
          <w:tab w:leader="none" w:pos="129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Each of the Initial Closing and any Additional Closings (as defined below) (collectively, the “</w:t>
      </w:r>
      <w:r>
        <w:rPr>
          <w:rFonts w:ascii="Times New Roman" w:cs="Times New Roman" w:eastAsia="Times New Roman" w:hAnsi="Times New Roman"/>
          <w:sz w:val="22"/>
          <w:szCs w:val="22"/>
          <w:b w:val="1"/>
          <w:bCs w:val="1"/>
          <w:color w:val="auto"/>
        </w:rPr>
        <w:t>Closings</w:t>
      </w:r>
      <w:r>
        <w:rPr>
          <w:rFonts w:ascii="Times New Roman" w:cs="Times New Roman" w:eastAsia="Times New Roman" w:hAnsi="Times New Roman"/>
          <w:sz w:val="22"/>
          <w:szCs w:val="22"/>
          <w:color w:val="auto"/>
        </w:rPr>
        <w:t>,” and each date of Closing, a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of the purchase of Notes by the Buyers shall occur at the offices of Kelley Drye &amp; Warren LLP, 3 World Trade Center, 175 Greenwich Street, New York, NY 10007.</w:t>
      </w:r>
    </w:p>
    <w:p>
      <w:pPr>
        <w:spacing w:after="0" w:line="182" w:lineRule="exact"/>
        <w:rPr>
          <w:rFonts w:ascii="Times New Roman" w:cs="Times New Roman" w:eastAsia="Times New Roman" w:hAnsi="Times New Roman"/>
          <w:sz w:val="22"/>
          <w:szCs w:val="22"/>
          <w:color w:val="auto"/>
        </w:rPr>
      </w:pPr>
    </w:p>
    <w:p>
      <w:pPr>
        <w:jc w:val="both"/>
        <w:ind w:left="660" w:right="220" w:firstLine="644"/>
        <w:spacing w:after="0" w:line="262" w:lineRule="auto"/>
        <w:tabs>
          <w:tab w:leader="none" w:pos="1944"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Closing</w:t>
      </w:r>
      <w:r>
        <w:rPr>
          <w:rFonts w:ascii="Times New Roman" w:cs="Times New Roman" w:eastAsia="Times New Roman" w:hAnsi="Times New Roman"/>
          <w:sz w:val="21"/>
          <w:szCs w:val="21"/>
          <w:color w:val="auto"/>
        </w:rPr>
        <w:t>. The date and time of the Initial Closing (the “</w:t>
      </w:r>
      <w:r>
        <w:rPr>
          <w:rFonts w:ascii="Times New Roman" w:cs="Times New Roman" w:eastAsia="Times New Roman" w:hAnsi="Times New Roman"/>
          <w:sz w:val="21"/>
          <w:szCs w:val="21"/>
          <w:b w:val="1"/>
          <w:bCs w:val="1"/>
          <w:color w:val="auto"/>
        </w:rPr>
        <w:t>Initial Closing Date</w:t>
      </w:r>
      <w:r>
        <w:rPr>
          <w:rFonts w:ascii="Times New Roman" w:cs="Times New Roman" w:eastAsia="Times New Roman" w:hAnsi="Times New Roman"/>
          <w:sz w:val="21"/>
          <w:szCs w:val="21"/>
          <w:color w:val="auto"/>
        </w:rPr>
        <w:t xml:space="preserve">”) shall be 9:30 a.m., New York time, on the first (1st) Business Day (as defined below) on which the conditions to the Initial Closing set forth in </w:t>
      </w:r>
      <w:r>
        <w:rPr>
          <w:rFonts w:ascii="Times New Roman" w:cs="Times New Roman" w:eastAsia="Times New Roman" w:hAnsi="Times New Roman"/>
          <w:sz w:val="21"/>
          <w:szCs w:val="21"/>
          <w:u w:val="single" w:color="auto"/>
          <w:color w:val="auto"/>
        </w:rPr>
        <w:t>Sections 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7(a)</w:t>
      </w:r>
      <w:r>
        <w:rPr>
          <w:rFonts w:ascii="Times New Roman" w:cs="Times New Roman" w:eastAsia="Times New Roman" w:hAnsi="Times New Roman"/>
          <w:sz w:val="21"/>
          <w:szCs w:val="21"/>
          <w:color w:val="auto"/>
        </w:rPr>
        <w:t xml:space="preserve"> below are satisfied or waived (or such other date as is mutually agreed to by the Company and each Buyer). As used herein “</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any day other than Saturday, Sunday or other day on which commercial banks in The City of New York, Cayman Islands, Hong Kong or mainland China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w:t>
      </w:r>
    </w:p>
    <w:p>
      <w:pPr>
        <w:sectPr>
          <w:pgSz w:w="11900" w:h="16838" w:orient="portrait"/>
          <w:cols w:equalWidth="0" w:num="1">
            <w:col w:w="11140"/>
          </w:cols>
          <w:pgMar w:left="320" w:top="1440" w:right="439" w:bottom="1440" w:gutter="0" w:footer="0" w:header="0"/>
        </w:sectPr>
      </w:pPr>
    </w:p>
    <w:bookmarkStart w:id="201" w:name="page202"/>
    <w:bookmarkEnd w:id="20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commercial banks in The City of New York, Cayman Islands, Hong Kong or mainland China generally are open for use by customers on such day.</w:t>
      </w:r>
    </w:p>
    <w:p>
      <w:pPr>
        <w:spacing w:after="0" w:line="158" w:lineRule="exact"/>
        <w:rPr>
          <w:sz w:val="20"/>
          <w:szCs w:val="20"/>
          <w:color w:val="auto"/>
        </w:rPr>
      </w:pPr>
    </w:p>
    <w:p>
      <w:pPr>
        <w:ind w:left="1280" w:hanging="636"/>
        <w:spacing w:after="0"/>
        <w:tabs>
          <w:tab w:leader="none" w:pos="1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Closings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93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Closing Date</w:t>
      </w:r>
      <w:r>
        <w:rPr>
          <w:rFonts w:ascii="Times New Roman" w:cs="Times New Roman" w:eastAsia="Times New Roman" w:hAnsi="Times New Roman"/>
          <w:sz w:val="22"/>
          <w:szCs w:val="22"/>
          <w:color w:val="auto"/>
        </w:rPr>
        <w:t>. If a Buyer has delivered an Additional Closing Notice to the Company, the date and time of the applicable Additional Closing (each, an “</w:t>
      </w:r>
      <w:r>
        <w:rPr>
          <w:rFonts w:ascii="Times New Roman" w:cs="Times New Roman" w:eastAsia="Times New Roman" w:hAnsi="Times New Roman"/>
          <w:sz w:val="22"/>
          <w:szCs w:val="22"/>
          <w:b w:val="1"/>
          <w:bCs w:val="1"/>
          <w:color w:val="auto"/>
        </w:rPr>
        <w:t>Additional Closing Date</w:t>
      </w:r>
      <w:r>
        <w:rPr>
          <w:rFonts w:ascii="Times New Roman" w:cs="Times New Roman" w:eastAsia="Times New Roman" w:hAnsi="Times New Roman"/>
          <w:sz w:val="22"/>
          <w:szCs w:val="22"/>
          <w:color w:val="auto"/>
        </w:rPr>
        <w:t>,” and the Initial Closing Date and each Additional Closing Date, each, a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shall be 10:00 a.m., New York time, on the first (1st) Business Day on which the conditions to such Additional Closing set forth in this </w:t>
      </w:r>
      <w:r>
        <w:rPr>
          <w:rFonts w:ascii="Times New Roman" w:cs="Times New Roman" w:eastAsia="Times New Roman" w:hAnsi="Times New Roman"/>
          <w:sz w:val="22"/>
          <w:szCs w:val="22"/>
          <w:u w:val="single" w:color="auto"/>
          <w:color w:val="auto"/>
        </w:rPr>
        <w:t>Section 1(b)(ii)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6(b)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7(b)</w:t>
      </w:r>
      <w:r>
        <w:rPr>
          <w:rFonts w:ascii="Times New Roman" w:cs="Times New Roman" w:eastAsia="Times New Roman" w:hAnsi="Times New Roman"/>
          <w:sz w:val="22"/>
          <w:szCs w:val="22"/>
          <w:color w:val="auto"/>
        </w:rPr>
        <w:t xml:space="preserve"> below (the “</w:t>
      </w:r>
      <w:r>
        <w:rPr>
          <w:rFonts w:ascii="Times New Roman" w:cs="Times New Roman" w:eastAsia="Times New Roman" w:hAnsi="Times New Roman"/>
          <w:sz w:val="22"/>
          <w:szCs w:val="22"/>
          <w:b w:val="1"/>
          <w:bCs w:val="1"/>
          <w:color w:val="auto"/>
        </w:rPr>
        <w:t>Additional Closing Conditions</w:t>
      </w:r>
      <w:r>
        <w:rPr>
          <w:rFonts w:ascii="Times New Roman" w:cs="Times New Roman" w:eastAsia="Times New Roman" w:hAnsi="Times New Roman"/>
          <w:sz w:val="22"/>
          <w:szCs w:val="22"/>
          <w:color w:val="auto"/>
        </w:rPr>
        <w:t>”) are satisfied or waived (or such other date as is mutually agreed to by the Company and each Buyer).</w:t>
      </w:r>
    </w:p>
    <w:p>
      <w:pPr>
        <w:spacing w:after="0" w:line="181" w:lineRule="exact"/>
        <w:rPr>
          <w:rFonts w:ascii="Times New Roman" w:cs="Times New Roman" w:eastAsia="Times New Roman" w:hAnsi="Times New Roman"/>
          <w:sz w:val="22"/>
          <w:szCs w:val="22"/>
          <w:color w:val="auto"/>
        </w:rPr>
      </w:pPr>
    </w:p>
    <w:p>
      <w:pPr>
        <w:jc w:val="both"/>
        <w:ind w:left="640" w:firstLine="652"/>
        <w:spacing w:after="0" w:line="252" w:lineRule="auto"/>
        <w:tabs>
          <w:tab w:leader="none" w:pos="1931"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Closings at Buyer’s Election</w:t>
      </w:r>
      <w:r>
        <w:rPr>
          <w:rFonts w:ascii="Times New Roman" w:cs="Times New Roman" w:eastAsia="Times New Roman" w:hAnsi="Times New Roman"/>
          <w:sz w:val="21"/>
          <w:szCs w:val="21"/>
          <w:color w:val="auto"/>
        </w:rPr>
        <w:t>. Subject to the satisfaction (or waiver) of the Additional Closing Conditions, each Buyer, severally, shall have the right, exercisable on or prior to the applicable Additional Closing Expiration Date (as defined below) by e-mail delivery of a written notice to the Company (each, an “</w:t>
      </w:r>
      <w:r>
        <w:rPr>
          <w:rFonts w:ascii="Times New Roman" w:cs="Times New Roman" w:eastAsia="Times New Roman" w:hAnsi="Times New Roman"/>
          <w:sz w:val="21"/>
          <w:szCs w:val="21"/>
          <w:b w:val="1"/>
          <w:bCs w:val="1"/>
          <w:color w:val="auto"/>
        </w:rPr>
        <w:t>Additional Closing Notice</w:t>
      </w:r>
      <w:r>
        <w:rPr>
          <w:rFonts w:ascii="Times New Roman" w:cs="Times New Roman" w:eastAsia="Times New Roman" w:hAnsi="Times New Roman"/>
          <w:sz w:val="21"/>
          <w:szCs w:val="21"/>
          <w:color w:val="auto"/>
        </w:rPr>
        <w:t>”, and the date thereof, each an “</w:t>
      </w:r>
      <w:r>
        <w:rPr>
          <w:rFonts w:ascii="Times New Roman" w:cs="Times New Roman" w:eastAsia="Times New Roman" w:hAnsi="Times New Roman"/>
          <w:sz w:val="21"/>
          <w:szCs w:val="21"/>
          <w:b w:val="1"/>
          <w:bCs w:val="1"/>
          <w:color w:val="auto"/>
        </w:rPr>
        <w:t>Additional Closing 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and the amount of each Additional Note, an “</w:t>
      </w:r>
      <w:r>
        <w:rPr>
          <w:rFonts w:ascii="Times New Roman" w:cs="Times New Roman" w:eastAsia="Times New Roman" w:hAnsi="Times New Roman"/>
          <w:sz w:val="21"/>
          <w:szCs w:val="21"/>
          <w:b w:val="1"/>
          <w:bCs w:val="1"/>
          <w:color w:val="auto"/>
        </w:rPr>
        <w:t>Additional Notes Amount</w:t>
      </w:r>
      <w:r>
        <w:rPr>
          <w:rFonts w:ascii="Times New Roman" w:cs="Times New Roman" w:eastAsia="Times New Roman" w:hAnsi="Times New Roman"/>
          <w:sz w:val="21"/>
          <w:szCs w:val="21"/>
          <w:color w:val="auto"/>
        </w:rPr>
        <w:t>”) to purchase, and to require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to sell to such Buyer, at one or more Additional Closings, (i) on or prior to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Trading Day following the first anniversary of the Initial Closing Date (the “</w:t>
      </w:r>
      <w:r>
        <w:rPr>
          <w:rFonts w:ascii="Times New Roman" w:cs="Times New Roman" w:eastAsia="Times New Roman" w:hAnsi="Times New Roman"/>
          <w:sz w:val="21"/>
          <w:szCs w:val="21"/>
          <w:b w:val="1"/>
          <w:bCs w:val="1"/>
          <w:color w:val="auto"/>
        </w:rPr>
        <w:t>First Tranche Additional 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Expiration Date</w:t>
      </w:r>
      <w:r>
        <w:rPr>
          <w:rFonts w:ascii="Times New Roman" w:cs="Times New Roman" w:eastAsia="Times New Roman" w:hAnsi="Times New Roman"/>
          <w:sz w:val="21"/>
          <w:szCs w:val="21"/>
          <w:color w:val="auto"/>
        </w:rPr>
        <w:t>” and each such closing of such Additional Notes, a “</w:t>
      </w:r>
      <w:r>
        <w:rPr>
          <w:rFonts w:ascii="Times New Roman" w:cs="Times New Roman" w:eastAsia="Times New Roman" w:hAnsi="Times New Roman"/>
          <w:sz w:val="21"/>
          <w:szCs w:val="21"/>
          <w:b w:val="1"/>
          <w:bCs w:val="1"/>
          <w:color w:val="auto"/>
        </w:rPr>
        <w:t>First Tranche Additional Closing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collectively, the “</w:t>
      </w:r>
      <w:r>
        <w:rPr>
          <w:rFonts w:ascii="Times New Roman" w:cs="Times New Roman" w:eastAsia="Times New Roman" w:hAnsi="Times New Roman"/>
          <w:sz w:val="21"/>
          <w:szCs w:val="21"/>
          <w:b w:val="1"/>
          <w:bCs w:val="1"/>
          <w:color w:val="auto"/>
        </w:rPr>
        <w:t>First Tranche Additional Closings</w:t>
      </w:r>
      <w:r>
        <w:rPr>
          <w:rFonts w:ascii="Times New Roman" w:cs="Times New Roman" w:eastAsia="Times New Roman" w:hAnsi="Times New Roman"/>
          <w:sz w:val="21"/>
          <w:szCs w:val="21"/>
          <w:color w:val="auto"/>
        </w:rPr>
        <w:t>”), up to the amount as set forth opposite such Buyer’s name in column (4) on the Schedule of Buyers (subject to reduction, on a dollar-for-dollar basis for the aggregate principal amount of any Additional Notes issued in any First Tranche Additional Closings prior to such applicable Additional Closing Date)(collectively, the “</w:t>
      </w:r>
      <w:r>
        <w:rPr>
          <w:rFonts w:ascii="Times New Roman" w:cs="Times New Roman" w:eastAsia="Times New Roman" w:hAnsi="Times New Roman"/>
          <w:sz w:val="21"/>
          <w:szCs w:val="21"/>
          <w:b w:val="1"/>
          <w:bCs w:val="1"/>
          <w:color w:val="auto"/>
        </w:rPr>
        <w:t>First Tranche Additional Closing Maximum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of Additional Notes, and (ii) on or prior to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Trading Day following the 18-month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anniversary of the Initial Closing Date (the “</w:t>
      </w:r>
      <w:r>
        <w:rPr>
          <w:rFonts w:ascii="Times New Roman" w:cs="Times New Roman" w:eastAsia="Times New Roman" w:hAnsi="Times New Roman"/>
          <w:sz w:val="21"/>
          <w:szCs w:val="21"/>
          <w:b w:val="1"/>
          <w:bCs w:val="1"/>
          <w:color w:val="auto"/>
        </w:rPr>
        <w:t>Second Tranche Additional Closing Expiration Date</w:t>
      </w:r>
      <w:r>
        <w:rPr>
          <w:rFonts w:ascii="Times New Roman" w:cs="Times New Roman" w:eastAsia="Times New Roman" w:hAnsi="Times New Roman"/>
          <w:sz w:val="21"/>
          <w:szCs w:val="21"/>
          <w:color w:val="auto"/>
        </w:rPr>
        <w:t>”, and collectively with the First Tranche Additional Closing Expiration Date, each, an “</w:t>
      </w:r>
      <w:r>
        <w:rPr>
          <w:rFonts w:ascii="Times New Roman" w:cs="Times New Roman" w:eastAsia="Times New Roman" w:hAnsi="Times New Roman"/>
          <w:sz w:val="21"/>
          <w:szCs w:val="21"/>
          <w:b w:val="1"/>
          <w:bCs w:val="1"/>
          <w:color w:val="auto"/>
        </w:rPr>
        <w:t>Additional 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Expiration Date</w:t>
      </w:r>
      <w:r>
        <w:rPr>
          <w:rFonts w:ascii="Times New Roman" w:cs="Times New Roman" w:eastAsia="Times New Roman" w:hAnsi="Times New Roman"/>
          <w:sz w:val="21"/>
          <w:szCs w:val="21"/>
          <w:color w:val="auto"/>
        </w:rPr>
        <w:t>” and each such closing of such Additional Notes, a “</w:t>
      </w:r>
      <w:r>
        <w:rPr>
          <w:rFonts w:ascii="Times New Roman" w:cs="Times New Roman" w:eastAsia="Times New Roman" w:hAnsi="Times New Roman"/>
          <w:sz w:val="21"/>
          <w:szCs w:val="21"/>
          <w:b w:val="1"/>
          <w:bCs w:val="1"/>
          <w:color w:val="auto"/>
        </w:rPr>
        <w:t>Second Tranche Additional Closing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collectively, the “</w:t>
      </w:r>
      <w:r>
        <w:rPr>
          <w:rFonts w:ascii="Times New Roman" w:cs="Times New Roman" w:eastAsia="Times New Roman" w:hAnsi="Times New Roman"/>
          <w:sz w:val="21"/>
          <w:szCs w:val="21"/>
          <w:b w:val="1"/>
          <w:bCs w:val="1"/>
          <w:color w:val="auto"/>
        </w:rPr>
        <w:t>Second Tranche Additional Closings</w:t>
      </w:r>
      <w:r>
        <w:rPr>
          <w:rFonts w:ascii="Times New Roman" w:cs="Times New Roman" w:eastAsia="Times New Roman" w:hAnsi="Times New Roman"/>
          <w:sz w:val="21"/>
          <w:szCs w:val="21"/>
          <w:color w:val="auto"/>
        </w:rPr>
        <w:t>”, and collectively with the “</w:t>
      </w:r>
      <w:r>
        <w:rPr>
          <w:rFonts w:ascii="Times New Roman" w:cs="Times New Roman" w:eastAsia="Times New Roman" w:hAnsi="Times New Roman"/>
          <w:sz w:val="21"/>
          <w:szCs w:val="21"/>
          <w:b w:val="1"/>
          <w:bCs w:val="1"/>
          <w:color w:val="auto"/>
        </w:rPr>
        <w:t>First Tranche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Additional Closings</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Additional Closings</w:t>
      </w:r>
      <w:r>
        <w:rPr>
          <w:rFonts w:ascii="Times New Roman" w:cs="Times New Roman" w:eastAsia="Times New Roman" w:hAnsi="Times New Roman"/>
          <w:sz w:val="21"/>
          <w:szCs w:val="21"/>
          <w:color w:val="auto"/>
        </w:rPr>
        <w:t>” and each an “</w:t>
      </w:r>
      <w:r>
        <w:rPr>
          <w:rFonts w:ascii="Times New Roman" w:cs="Times New Roman" w:eastAsia="Times New Roman" w:hAnsi="Times New Roman"/>
          <w:sz w:val="21"/>
          <w:szCs w:val="21"/>
          <w:b w:val="1"/>
          <w:bCs w:val="1"/>
          <w:color w:val="auto"/>
        </w:rPr>
        <w:t>Additional Closing</w:t>
      </w:r>
      <w:r>
        <w:rPr>
          <w:rFonts w:ascii="Times New Roman" w:cs="Times New Roman" w:eastAsia="Times New Roman" w:hAnsi="Times New Roman"/>
          <w:sz w:val="21"/>
          <w:szCs w:val="21"/>
          <w:color w:val="auto"/>
        </w:rPr>
        <w:t>”), up to the amount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opposite such Buyer’s name in column (5) on the Schedule of Buyers (subject to reduction, on a dollar-for-dollar basis for the aggregate principal amount of any Additional Notes issued in any Second Tranche Additional Closings prior to such applicable Additional Closing Date)(collectively, the “</w:t>
      </w:r>
      <w:r>
        <w:rPr>
          <w:rFonts w:ascii="Times New Roman" w:cs="Times New Roman" w:eastAsia="Times New Roman" w:hAnsi="Times New Roman"/>
          <w:sz w:val="21"/>
          <w:szCs w:val="21"/>
          <w:b w:val="1"/>
          <w:bCs w:val="1"/>
          <w:color w:val="auto"/>
        </w:rPr>
        <w:t>Second Tranche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Additional Closing Maximum Amount</w:t>
      </w:r>
      <w:r>
        <w:rPr>
          <w:rFonts w:ascii="Times New Roman" w:cs="Times New Roman" w:eastAsia="Times New Roman" w:hAnsi="Times New Roman"/>
          <w:sz w:val="21"/>
          <w:szCs w:val="21"/>
          <w:color w:val="auto"/>
        </w:rPr>
        <w:t>”, and together with the First Tranche Additional Closing Maximum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each an “</w:t>
      </w:r>
      <w:r>
        <w:rPr>
          <w:rFonts w:ascii="Times New Roman" w:cs="Times New Roman" w:eastAsia="Times New Roman" w:hAnsi="Times New Roman"/>
          <w:sz w:val="21"/>
          <w:szCs w:val="21"/>
          <w:b w:val="1"/>
          <w:bCs w:val="1"/>
          <w:color w:val="auto"/>
        </w:rPr>
        <w:t>Additional Closing Maximum Amount</w:t>
      </w:r>
      <w:r>
        <w:rPr>
          <w:rFonts w:ascii="Times New Roman" w:cs="Times New Roman" w:eastAsia="Times New Roman" w:hAnsi="Times New Roman"/>
          <w:sz w:val="21"/>
          <w:szCs w:val="21"/>
          <w:color w:val="auto"/>
        </w:rPr>
        <w:t>”)</w:t>
      </w:r>
    </w:p>
    <w:p>
      <w:pPr>
        <w:sectPr>
          <w:pgSz w:w="11900" w:h="16838" w:orient="portrait"/>
          <w:cols w:equalWidth="0" w:num="1">
            <w:col w:w="10260"/>
          </w:cols>
          <w:pgMar w:left="980" w:top="1440" w:right="659" w:bottom="1440" w:gutter="0" w:footer="0" w:header="0"/>
        </w:sectPr>
      </w:pPr>
    </w:p>
    <w:bookmarkStart w:id="202" w:name="page203"/>
    <w:bookmarkEnd w:id="202"/>
    <w:p>
      <w:pPr>
        <w:spacing w:after="0" w:line="193" w:lineRule="exact"/>
        <w:rPr>
          <w:sz w:val="20"/>
          <w:szCs w:val="20"/>
          <w:color w:val="auto"/>
        </w:rPr>
      </w:pPr>
    </w:p>
    <w:p>
      <w:pPr>
        <w:jc w:val="both"/>
        <w:ind w:left="645"/>
        <w:spacing w:after="0" w:line="247" w:lineRule="auto"/>
        <w:rPr>
          <w:sz w:val="20"/>
          <w:szCs w:val="20"/>
          <w:color w:val="auto"/>
        </w:rPr>
      </w:pPr>
      <w:r>
        <w:rPr>
          <w:rFonts w:ascii="Times New Roman" w:cs="Times New Roman" w:eastAsia="Times New Roman" w:hAnsi="Times New Roman"/>
          <w:sz w:val="21"/>
          <w:szCs w:val="21"/>
          <w:color w:val="auto"/>
        </w:rPr>
        <w:t xml:space="preserve">of Additional Notes,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during the period commencing from the last day of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calendar month following the end of each Fiscal Year (as defined in the Notes) until the last day of the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monthnfollowing the end of such Fiscal Year (the “</w:t>
      </w:r>
      <w:r>
        <w:rPr>
          <w:rFonts w:ascii="Times New Roman" w:cs="Times New Roman" w:eastAsia="Times New Roman" w:hAnsi="Times New Roman"/>
          <w:sz w:val="21"/>
          <w:szCs w:val="21"/>
          <w:b w:val="1"/>
          <w:bCs w:val="1"/>
          <w:color w:val="auto"/>
        </w:rPr>
        <w:t>Additional Closing Restricted Period</w:t>
      </w:r>
      <w:r>
        <w:rPr>
          <w:rFonts w:ascii="Times New Roman" w:cs="Times New Roman" w:eastAsia="Times New Roman" w:hAnsi="Times New Roman"/>
          <w:sz w:val="21"/>
          <w:szCs w:val="21"/>
          <w:color w:val="auto"/>
        </w:rPr>
        <w:t xml:space="preserve">”), a Buyer shall only be entitled to deliver an Additional Closing Notice upon the prior written approval of the Company; </w:t>
      </w:r>
      <w:r>
        <w:rPr>
          <w:rFonts w:ascii="Times New Roman" w:cs="Times New Roman" w:eastAsia="Times New Roman" w:hAnsi="Times New Roman"/>
          <w:sz w:val="21"/>
          <w:szCs w:val="21"/>
          <w:i w:val="1"/>
          <w:iCs w:val="1"/>
          <w:color w:val="auto"/>
        </w:rPr>
        <w:t xml:space="preserve">provided further that </w:t>
      </w:r>
      <w:r>
        <w:rPr>
          <w:rFonts w:ascii="Times New Roman" w:cs="Times New Roman" w:eastAsia="Times New Roman" w:hAnsi="Times New Roman"/>
          <w:sz w:val="21"/>
          <w:szCs w:val="21"/>
          <w:color w:val="auto"/>
        </w:rPr>
        <w:t>the Second Tranche Additional Closing Expiration Date (but not the First Tranche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Additional Closing Expiration Date for the avoidance of doubt) shall be extended by the actual number of days the Company fails to approve any delivery of Additional Closing Notice during the Additional Closing Restricted Period. Each Additional Closing Notice shall specify (x) the proposed Additional Closing Date of the applicable Additional Closing (which, if unspecified in such Additional Closing Notice, shall be the twentieth (20th) Trading Day after such Additional Closing Notice Date or such other date as is mutually agreed to by the Company and each Buyer), and (y) the applicable Additional Notes Amount of the Additional Note to be issued to such Buyer at such Additional Closing, which amount shall be not less than the lower of</w:t>
      </w:r>
    </w:p>
    <w:p>
      <w:pPr>
        <w:spacing w:after="0" w:line="10" w:lineRule="exact"/>
        <w:rPr>
          <w:sz w:val="20"/>
          <w:szCs w:val="20"/>
          <w:color w:val="auto"/>
        </w:rPr>
      </w:pPr>
    </w:p>
    <w:p>
      <w:pPr>
        <w:jc w:val="both"/>
        <w:ind w:left="645" w:firstLine="4"/>
        <w:spacing w:after="0" w:line="252" w:lineRule="auto"/>
        <w:tabs>
          <w:tab w:leader="none" w:pos="93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$20,000,000; provided that, such amount shall not exceed the applicable Additional Closing Maximum Amount, and (ii) the applicable Additional Closing Maximum Amount of such applicable Buyer (or such other amount as the Company and such Buyer shall mutually agree).</w:t>
      </w:r>
    </w:p>
    <w:p>
      <w:pPr>
        <w:spacing w:after="0" w:line="174" w:lineRule="exact"/>
        <w:rPr>
          <w:rFonts w:ascii="Times New Roman" w:cs="Times New Roman" w:eastAsia="Times New Roman" w:hAnsi="Times New Roman"/>
          <w:sz w:val="22"/>
          <w:szCs w:val="22"/>
          <w:color w:val="auto"/>
        </w:rPr>
      </w:pPr>
    </w:p>
    <w:p>
      <w:pPr>
        <w:jc w:val="both"/>
        <w:ind w:left="-655" w:firstLine="655"/>
        <w:spacing w:after="0" w:line="249" w:lineRule="auto"/>
        <w:tabs>
          <w:tab w:leader="none" w:pos="63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aggregate purchase price for the Initial Notes to be purchased by each Buyer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shall be the amount set forth opposite such Buyer’s name in column (6) on the Schedule of Buyers.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shall pay $970 for each $1,000 of principal amount of Initial Notes to be purchased by such Buyer at the Initial Closing. The aggregate purchase price for the Additional Notes to be purchased by each Buyer at any given Additional Closing (each, an “</w:t>
      </w:r>
      <w:r>
        <w:rPr>
          <w:rFonts w:ascii="Times New Roman" w:cs="Times New Roman" w:eastAsia="Times New Roman" w:hAnsi="Times New Roman"/>
          <w:sz w:val="22"/>
          <w:szCs w:val="22"/>
          <w:b w:val="1"/>
          <w:bCs w:val="1"/>
          <w:color w:val="auto"/>
        </w:rPr>
        <w:t>Additional Purchase Price</w:t>
      </w:r>
      <w:r>
        <w:rPr>
          <w:rFonts w:ascii="Times New Roman" w:cs="Times New Roman" w:eastAsia="Times New Roman" w:hAnsi="Times New Roman"/>
          <w:sz w:val="22"/>
          <w:szCs w:val="22"/>
          <w:color w:val="auto"/>
        </w:rPr>
        <w:t>”, and together with the Initial Purchase Price, each, a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shall be $970 for each $1,000 of aggregate principal amount of Additional Notes to be issued in such Additional Closing (which, together with the Additional Purchase Price of each prior Additional Closings, shall not exceed the aggregate amount set forth opposite such Buyer’s name in column (7) on the Schedule of Buyers).</w:t>
      </w:r>
    </w:p>
    <w:p>
      <w:pPr>
        <w:spacing w:after="0" w:line="199"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 w:firstLine="644"/>
        <w:spacing w:after="0" w:line="265" w:lineRule="auto"/>
        <w:tabs>
          <w:tab w:leader="none" w:pos="1289"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Closing</w:t>
      </w:r>
      <w:r>
        <w:rPr>
          <w:rFonts w:ascii="Times New Roman" w:cs="Times New Roman" w:eastAsia="Times New Roman" w:hAnsi="Times New Roman"/>
          <w:sz w:val="21"/>
          <w:szCs w:val="21"/>
          <w:color w:val="auto"/>
        </w:rPr>
        <w:t xml:space="preserve">. On the Initial Closing Date, (i) each Buyer shall pay its respective Initial Purchase Price (less, in the case of any Buyer, the amounts withheld pursuant to </w:t>
      </w:r>
      <w:r>
        <w:rPr>
          <w:rFonts w:ascii="Times New Roman" w:cs="Times New Roman" w:eastAsia="Times New Roman" w:hAnsi="Times New Roman"/>
          <w:sz w:val="21"/>
          <w:szCs w:val="21"/>
          <w:u w:val="single" w:color="auto"/>
          <w:color w:val="auto"/>
        </w:rPr>
        <w:t>Section 4(j)</w:t>
      </w:r>
      <w:r>
        <w:rPr>
          <w:rFonts w:ascii="Times New Roman" w:cs="Times New Roman" w:eastAsia="Times New Roman" w:hAnsi="Times New Roman"/>
          <w:sz w:val="21"/>
          <w:szCs w:val="21"/>
          <w:color w:val="auto"/>
        </w:rPr>
        <w:t>) to the Company for the Initial Notes to be issued and sold to such Buyer at the Initial Closing, by wire transfer of immediately available funds in accordance with the Initial Flow of Funds Letter (as defined below) and (ii) the Company shall deliver to each Buyer an Initial Note in the aggregate original principal amount as is set forth opposite such Buyer’s name in column (3) of the Schedule of Buyers duly executed on behalf of the Company and registered in the name of such Buyer or its designee.</w:t>
      </w:r>
    </w:p>
    <w:p>
      <w:pPr>
        <w:spacing w:after="0" w:line="169" w:lineRule="exact"/>
        <w:rPr>
          <w:sz w:val="20"/>
          <w:szCs w:val="20"/>
          <w:color w:val="auto"/>
        </w:rPr>
      </w:pPr>
    </w:p>
    <w:p>
      <w:pPr>
        <w:ind w:left="5" w:right="20" w:firstLine="644"/>
        <w:spacing w:after="0" w:line="271" w:lineRule="auto"/>
        <w:tabs>
          <w:tab w:leader="none" w:pos="129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Closings</w:t>
      </w:r>
      <w:r>
        <w:rPr>
          <w:rFonts w:ascii="Times New Roman" w:cs="Times New Roman" w:eastAsia="Times New Roman" w:hAnsi="Times New Roman"/>
          <w:sz w:val="22"/>
          <w:szCs w:val="22"/>
          <w:color w:val="auto"/>
        </w:rPr>
        <w:t>. On each applicable Additional Closing Date, (i) each Buyer participating in such Additional Closing shall pay its respective</w:t>
      </w:r>
    </w:p>
    <w:p>
      <w:pPr>
        <w:sectPr>
          <w:pgSz w:w="11900" w:h="16838" w:orient="portrait"/>
          <w:cols w:equalWidth="0" w:num="1">
            <w:col w:w="10265"/>
          </w:cols>
          <w:pgMar w:left="975" w:top="1440" w:right="659" w:bottom="1440" w:gutter="0" w:footer="0" w:header="0"/>
        </w:sectPr>
      </w:pPr>
    </w:p>
    <w:bookmarkStart w:id="203" w:name="page204"/>
    <w:bookmarkEnd w:id="203"/>
    <w:p>
      <w:pPr>
        <w:spacing w:after="0" w:line="19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applicable Additional Purchase Price for such Additional Closing (less, in the case of any Buyer, the amounts withheld pursuant to </w:t>
      </w:r>
      <w:r>
        <w:rPr>
          <w:rFonts w:ascii="Times New Roman" w:cs="Times New Roman" w:eastAsia="Times New Roman" w:hAnsi="Times New Roman"/>
          <w:sz w:val="22"/>
          <w:szCs w:val="22"/>
          <w:u w:val="single" w:color="auto"/>
          <w:color w:val="auto"/>
        </w:rPr>
        <w:t>Section 4(j)</w:t>
      </w:r>
      <w:r>
        <w:rPr>
          <w:rFonts w:ascii="Times New Roman" w:cs="Times New Roman" w:eastAsia="Times New Roman" w:hAnsi="Times New Roman"/>
          <w:sz w:val="22"/>
          <w:szCs w:val="22"/>
          <w:color w:val="auto"/>
        </w:rPr>
        <w:t>) to the Company for the Additional Notes to be issued and sold to such Buyer at such Additional Closing, by wire transfer of immediately available funds in accordance with the applicable Additional Flow of Funds Letter (as defined below) and (ii) the Company shall deliver to each such applicable Buyer an Additional Note in the aggregate original principal amount as is set forth in the applicable Additional Closing Notice to be issued to such Buyer, duly executed on behalf of the Company and registered in the name of such Buyer or its designee.</w:t>
      </w:r>
    </w:p>
    <w:p>
      <w:pPr>
        <w:spacing w:after="0" w:line="176"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BUYER’S REPRESENTATIONS AND WARRANTIES.</w:t>
      </w:r>
    </w:p>
    <w:p>
      <w:pPr>
        <w:spacing w:after="0" w:line="237" w:lineRule="exact"/>
        <w:rPr>
          <w:sz w:val="20"/>
          <w:szCs w:val="20"/>
          <w:color w:val="auto"/>
        </w:rPr>
      </w:pPr>
    </w:p>
    <w:p>
      <w:pPr>
        <w:ind w:right="20" w:firstLine="647"/>
        <w:spacing w:after="0" w:line="271" w:lineRule="auto"/>
        <w:rPr>
          <w:sz w:val="20"/>
          <w:szCs w:val="20"/>
          <w:color w:val="auto"/>
        </w:rPr>
      </w:pPr>
      <w:r>
        <w:rPr>
          <w:rFonts w:ascii="Times New Roman" w:cs="Times New Roman" w:eastAsia="Times New Roman" w:hAnsi="Times New Roman"/>
          <w:sz w:val="22"/>
          <w:szCs w:val="22"/>
          <w:color w:val="auto"/>
        </w:rPr>
        <w:t>Each Buyer, severally and not jointly, represents and warrants to the Company with respect to only itself that, as of the date hereof and as of each Closing Date in which such Buyer purchases any Notes hereunder, as applicable:</w:t>
      </w:r>
    </w:p>
    <w:p>
      <w:pPr>
        <w:spacing w:after="0" w:line="158" w:lineRule="exact"/>
        <w:rPr>
          <w:sz w:val="20"/>
          <w:szCs w:val="20"/>
          <w:color w:val="auto"/>
        </w:rPr>
      </w:pPr>
    </w:p>
    <w:p>
      <w:pPr>
        <w:jc w:val="both"/>
        <w:ind w:right="20" w:firstLine="655"/>
        <w:spacing w:after="0" w:line="256" w:lineRule="auto"/>
        <w:tabs>
          <w:tab w:leader="none" w:pos="129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Authority</w:t>
      </w:r>
      <w:r>
        <w:rPr>
          <w:rFonts w:ascii="Times New Roman" w:cs="Times New Roman" w:eastAsia="Times New Roman" w:hAnsi="Times New Roman"/>
          <w:sz w:val="22"/>
          <w:szCs w:val="22"/>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6"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Enforcement</w:t>
      </w:r>
      <w:r>
        <w:rPr>
          <w:rFonts w:ascii="Times New Roman" w:cs="Times New Roman" w:eastAsia="Times New Roman" w:hAnsi="Times New Roman"/>
          <w:sz w:val="22"/>
          <w:szCs w:val="22"/>
          <w:color w:val="auto"/>
        </w:rPr>
        <w:t>. This Agreement and each of the Transaction Documents to which such Buyer is a party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1" w:lineRule="exact"/>
        <w:rPr>
          <w:rFonts w:ascii="Times New Roman" w:cs="Times New Roman" w:eastAsia="Times New Roman" w:hAnsi="Times New Roman"/>
          <w:sz w:val="22"/>
          <w:szCs w:val="22"/>
          <w:color w:val="auto"/>
        </w:rPr>
      </w:pPr>
    </w:p>
    <w:p>
      <w:pPr>
        <w:jc w:val="both"/>
        <w:ind w:firstLine="655"/>
        <w:spacing w:after="0" w:line="248" w:lineRule="auto"/>
        <w:tabs>
          <w:tab w:leader="none" w:pos="129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such Buyer of this Agreement and each of the Transaction Documents to which such Buyer is a party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98" w:lineRule="exact"/>
        <w:rPr>
          <w:rFonts w:ascii="Times New Roman" w:cs="Times New Roman" w:eastAsia="Times New Roman" w:hAnsi="Times New Roman"/>
          <w:sz w:val="22"/>
          <w:szCs w:val="22"/>
          <w:color w:val="auto"/>
        </w:rPr>
      </w:pPr>
    </w:p>
    <w:p>
      <w:pPr>
        <w:ind w:left="1300" w:hanging="645"/>
        <w:spacing w:after="0"/>
        <w:tabs>
          <w:tab w:leader="none" w:pos="130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Residency</w:t>
      </w:r>
      <w:r>
        <w:rPr>
          <w:rFonts w:ascii="Times New Roman" w:cs="Times New Roman" w:eastAsia="Times New Roman" w:hAnsi="Times New Roman"/>
          <w:sz w:val="21"/>
          <w:szCs w:val="21"/>
          <w:color w:val="auto"/>
        </w:rPr>
        <w:t>. Such Buyer is a resident of that jurisdiction specified below its address on the Schedule of Buyers.</w:t>
      </w:r>
    </w:p>
    <w:p>
      <w:pPr>
        <w:sectPr>
          <w:pgSz w:w="11900" w:h="16838" w:orient="portrait"/>
          <w:cols w:equalWidth="0" w:num="1">
            <w:col w:w="10920"/>
          </w:cols>
          <w:pgMar w:left="320" w:top="1440" w:right="659" w:bottom="1440" w:gutter="0" w:footer="0" w:header="0"/>
        </w:sectPr>
      </w:pPr>
    </w:p>
    <w:bookmarkStart w:id="204" w:name="page205"/>
    <w:bookmarkEnd w:id="204"/>
    <w:p>
      <w:pPr>
        <w:spacing w:after="0" w:line="198" w:lineRule="exact"/>
        <w:rPr>
          <w:sz w:val="20"/>
          <w:szCs w:val="20"/>
          <w:color w:val="auto"/>
        </w:rPr>
      </w:pPr>
    </w:p>
    <w:p>
      <w:pPr>
        <w:jc w:val="both"/>
        <w:ind w:left="-655" w:firstLine="655"/>
        <w:spacing w:after="0" w:line="249" w:lineRule="auto"/>
        <w:tabs>
          <w:tab w:leader="none" w:pos="63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195" w:lineRule="exact"/>
        <w:rPr>
          <w:rFonts w:ascii="Times New Roman" w:cs="Times New Roman" w:eastAsia="Times New Roman" w:hAnsi="Times New Roman"/>
          <w:sz w:val="22"/>
          <w:szCs w:val="22"/>
          <w:color w:val="auto"/>
        </w:rPr>
      </w:pPr>
    </w:p>
    <w:p>
      <w:pPr>
        <w:jc w:val="both"/>
        <w:ind w:left="-655" w:firstLine="655"/>
        <w:spacing w:after="0" w:line="252" w:lineRule="auto"/>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Governmental Review</w:t>
      </w:r>
      <w:r>
        <w:rPr>
          <w:rFonts w:ascii="Times New Roman" w:cs="Times New Roman" w:eastAsia="Times New Roman" w:hAnsi="Times New Roman"/>
          <w:sz w:val="22"/>
          <w:szCs w:val="22"/>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9" w:lineRule="exact"/>
        <w:rPr>
          <w:rFonts w:ascii="Times New Roman" w:cs="Times New Roman" w:eastAsia="Times New Roman" w:hAnsi="Times New Roman"/>
          <w:sz w:val="22"/>
          <w:szCs w:val="22"/>
          <w:color w:val="auto"/>
        </w:rPr>
      </w:pPr>
    </w:p>
    <w:p>
      <w:pPr>
        <w:jc w:val="both"/>
        <w:ind w:left="-655" w:firstLine="655"/>
        <w:spacing w:after="0" w:line="250" w:lineRule="auto"/>
        <w:tabs>
          <w:tab w:leader="none" w:pos="6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Trading Activities</w:t>
      </w:r>
      <w:r>
        <w:rPr>
          <w:rFonts w:ascii="Times New Roman" w:cs="Times New Roman" w:eastAsia="Times New Roman" w:hAnsi="Times New Roman"/>
          <w:sz w:val="22"/>
          <w:szCs w:val="22"/>
          <w:color w:val="auto"/>
        </w:rPr>
        <w:t>. During the period commencing at the time that the Buyer was first contacted by the Company, or any other Person representing the Company, regarding the transactions contemplated hereby and ending immediately prior to the execution of this Agreement, none of the Buyer, any of its Affiliates or any entity managed or controlled by the Buyer has, directly or indirectly, executed any purchases or sales, including Short Sales, of any securities of the Company (including, without limitation, the Ordinary Shares), or any stock pledge, forward sales contract, option, put, call, swap or similar hedging arrangement (including on a total return basis) with respect to any securities of the Company (including, without limitation, the Ordinary Shares). As used in this Agreement, “</w:t>
      </w:r>
      <w:r>
        <w:rPr>
          <w:rFonts w:ascii="Times New Roman" w:cs="Times New Roman" w:eastAsia="Times New Roman" w:hAnsi="Times New Roman"/>
          <w:sz w:val="22"/>
          <w:szCs w:val="22"/>
          <w:b w:val="1"/>
          <w:bCs w:val="1"/>
          <w:color w:val="auto"/>
        </w:rPr>
        <w:t>Short Sales</w:t>
      </w:r>
      <w:r>
        <w:rPr>
          <w:rFonts w:ascii="Times New Roman" w:cs="Times New Roman" w:eastAsia="Times New Roman" w:hAnsi="Times New Roman"/>
          <w:sz w:val="22"/>
          <w:szCs w:val="22"/>
          <w:color w:val="auto"/>
        </w:rPr>
        <w:t>” means “short sales” as defined in Rule 200 promulgated under Regulation SHO under the Exchange Act.</w:t>
      </w:r>
    </w:p>
    <w:p>
      <w:pPr>
        <w:spacing w:after="0" w:line="187" w:lineRule="exact"/>
        <w:rPr>
          <w:sz w:val="20"/>
          <w:szCs w:val="20"/>
          <w:color w:val="auto"/>
        </w:rPr>
      </w:pPr>
    </w:p>
    <w:p>
      <w:pPr>
        <w:jc w:val="both"/>
        <w:ind w:left="-655" w:firstLine="655"/>
        <w:spacing w:after="0" w:line="247" w:lineRule="auto"/>
        <w:tabs>
          <w:tab w:leader="none" w:pos="62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Sufficiency and Source of Funds</w:t>
      </w:r>
      <w:r>
        <w:rPr>
          <w:rFonts w:ascii="Times New Roman" w:cs="Times New Roman" w:eastAsia="Times New Roman" w:hAnsi="Times New Roman"/>
          <w:sz w:val="22"/>
          <w:szCs w:val="22"/>
          <w:color w:val="auto"/>
        </w:rPr>
        <w:t>. The Buyer represents and warrants that (i) has sufficient cash or other sources of immediately available funds to consummate the transactions contemplated by the Transaction Documents, including the payment of the Purchase Price and the satisfaction of any other of its payment obligations to the extent arising under the Transaction Documents, and (ii) the source of such funds will not be derived from, or related to, any activity that is conducted in violation of the Money Laundering Laws (as defined below) or any applicable terrorist financing laws, regulations and conventions, nor, to such Buyer’s knowledge, will such funds be derived from any account or Person located in a jurisdiction that is named on any Sanction List (as defined below). “</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means applicable anti-money laundering statutes,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of</w:t>
      </w:r>
    </w:p>
    <w:p>
      <w:pPr>
        <w:sectPr>
          <w:pgSz w:w="11900" w:h="16838" w:orient="portrait"/>
          <w:cols w:equalWidth="0" w:num="1">
            <w:col w:w="10265"/>
          </w:cols>
          <w:pgMar w:left="975" w:top="1440" w:right="659" w:bottom="1440" w:gutter="0" w:footer="0" w:header="0"/>
        </w:sectPr>
      </w:pPr>
    </w:p>
    <w:bookmarkStart w:id="205" w:name="page206"/>
    <w:bookmarkEnd w:id="205"/>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jurisdictions where the relevant Person conducts business, the rules and regulations thereunder and any related or similar rules, regulations or guidelines, issued, administered or enforced by any governmental agency, and “</w:t>
      </w:r>
      <w:r>
        <w:rPr>
          <w:rFonts w:ascii="Times New Roman" w:cs="Times New Roman" w:eastAsia="Times New Roman" w:hAnsi="Times New Roman"/>
          <w:sz w:val="22"/>
          <w:szCs w:val="22"/>
          <w:b w:val="1"/>
          <w:bCs w:val="1"/>
          <w:color w:val="auto"/>
        </w:rPr>
        <w:t>Sanction Lists</w:t>
      </w:r>
      <w:r>
        <w:rPr>
          <w:rFonts w:ascii="Times New Roman" w:cs="Times New Roman" w:eastAsia="Times New Roman" w:hAnsi="Times New Roman"/>
          <w:sz w:val="22"/>
          <w:szCs w:val="22"/>
          <w:color w:val="auto"/>
        </w:rPr>
        <w:t>” means the Specially Designated Nationals and Blocked Persons List, the Foreign Sanctions Evaders List, the Sectoral Sanctions Identification List, or any other similar list of sanctioned persons administered by the U.S. Treasury Department’s Office of Foreign Assets Control, or any similar list of sanctioned persons administered by the European Union or any individual European Union member state, including the United Kingdom.</w:t>
      </w:r>
    </w:p>
    <w:p>
      <w:pPr>
        <w:spacing w:after="0" w:line="33" w:lineRule="exact"/>
        <w:rPr>
          <w:sz w:val="20"/>
          <w:szCs w:val="20"/>
          <w:color w:val="auto"/>
        </w:rPr>
      </w:pPr>
    </w:p>
    <w:p>
      <w:pPr>
        <w:jc w:val="both"/>
        <w:ind w:firstLine="655"/>
        <w:spacing w:after="0" w:line="273" w:lineRule="auto"/>
        <w:tabs>
          <w:tab w:leader="none" w:pos="1283"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 of Foreign Assets Control</w:t>
      </w:r>
      <w:r>
        <w:rPr>
          <w:rFonts w:ascii="Times New Roman" w:cs="Times New Roman" w:eastAsia="Times New Roman" w:hAnsi="Times New Roman"/>
          <w:sz w:val="21"/>
          <w:szCs w:val="21"/>
          <w:color w:val="auto"/>
        </w:rPr>
        <w:t>. Neither the Investor nor any of its director or officer, nor, to the Investor’s knowledge, any Person that owns a controlling interest in the Investor, is a Person that is (i) named on any Sanction List, nor</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4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 organized in or resident of any Sanction Country. As used in this Agreement, “</w:t>
      </w:r>
      <w:r>
        <w:rPr>
          <w:rFonts w:ascii="Times New Roman" w:cs="Times New Roman" w:eastAsia="Times New Roman" w:hAnsi="Times New Roman"/>
          <w:sz w:val="22"/>
          <w:szCs w:val="22"/>
          <w:b w:val="1"/>
          <w:bCs w:val="1"/>
          <w:color w:val="auto"/>
        </w:rPr>
        <w:t>Sanction Country</w:t>
      </w:r>
      <w:r>
        <w:rPr>
          <w:rFonts w:ascii="Times New Roman" w:cs="Times New Roman" w:eastAsia="Times New Roman" w:hAnsi="Times New Roman"/>
          <w:sz w:val="22"/>
          <w:szCs w:val="22"/>
          <w:color w:val="auto"/>
        </w:rPr>
        <w:t>” means Crimea, Donetsk, and Luhansk regions of Ukraine, Cuba, Iran, North Korea, Sudan or Syria, or any other country or territory embargoed or subject to substantial trade restrictions by the United States, the European Union or any individual European Union member state, including the United Kingdom.</w:t>
      </w:r>
    </w:p>
    <w:p>
      <w:pPr>
        <w:spacing w:after="0" w:line="198" w:lineRule="exact"/>
        <w:rPr>
          <w:rFonts w:ascii="Times New Roman" w:cs="Times New Roman" w:eastAsia="Times New Roman" w:hAnsi="Times New Roman"/>
          <w:sz w:val="22"/>
          <w:szCs w:val="22"/>
          <w:color w:val="auto"/>
        </w:rPr>
      </w:pPr>
    </w:p>
    <w:p>
      <w:pPr>
        <w:jc w:val="both"/>
        <w:ind w:firstLine="655"/>
        <w:spacing w:after="0" w:line="247" w:lineRule="auto"/>
        <w:tabs>
          <w:tab w:leader="none" w:pos="1007"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Notwithstanding anything to the contrary in this Agreement, each Buyer acknowledges and represents that (i) it has reviewed with its own tax advisors the U.S. federal, state, local, and non-U.S. income and other tax consequences of the purchase, ownership, and disposition of the Securities and the transactions contemplated by this Agreement, (ii) it is relying solely on such tax advisors and not on any information in the Prospectus Supplement or any statements or representations of the Company or any of its agents or representatives with respect to such tax consequences, and (iii) the Company has not provided and is not providing any tax advice to such Buyer with respect to the acquisition, ownership, or disposition of the Securities. Each Buyer understands that the tax consequences of an investment in the Securities may depend on such Buyer’s own tax circumstances and that such Buyer must consult its own tax advisors concerning the application of U.S. federal, state, local and non-U.S. income tax laws to its particular situation, as well as any tax consequences arising under the laws of any other taxing jurisdiction.</w:t>
      </w:r>
    </w:p>
    <w:p>
      <w:pPr>
        <w:spacing w:after="0" w:line="200"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24"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22"/>
          <w:szCs w:val="22"/>
          <w:color w:val="auto"/>
        </w:rPr>
        <w:t xml:space="preserve">The Company represents and warrants to each of the Buyers that, except as set forth in the SEC Documents (other than the representations and warranties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through and including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which shall be qualified only to the extent explicitly set forth in such sections), the following representations are true and correct as of the date hereof and as of each Closing Date:</w:t>
      </w:r>
    </w:p>
    <w:p>
      <w:pPr>
        <w:spacing w:after="0" w:line="193" w:lineRule="exact"/>
        <w:rPr>
          <w:sz w:val="20"/>
          <w:szCs w:val="20"/>
          <w:color w:val="auto"/>
        </w:rPr>
      </w:pPr>
    </w:p>
    <w:p>
      <w:pPr>
        <w:jc w:val="both"/>
        <w:ind w:firstLine="655"/>
        <w:spacing w:after="0" w:line="250" w:lineRule="auto"/>
        <w:tabs>
          <w:tab w:leader="none" w:pos="129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w:t>
      </w:r>
    </w:p>
    <w:p>
      <w:pPr>
        <w:sectPr>
          <w:pgSz w:w="11900" w:h="16838" w:orient="portrait"/>
          <w:cols w:equalWidth="0" w:num="1">
            <w:col w:w="10920"/>
          </w:cols>
          <w:pgMar w:left="320" w:top="1440" w:right="659" w:bottom="1440" w:gutter="0" w:footer="0" w:header="0"/>
        </w:sectPr>
      </w:pPr>
    </w:p>
    <w:bookmarkStart w:id="206" w:name="page207"/>
    <w:bookmarkEnd w:id="206"/>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Material Adverse Effect (as defined below). As used in this Agreement,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any material adverse effect on (i) the business, properties, assets, liabilities, operations (including results thereof), condition (financial or otherwise) or prospects of the Company or any Subsidiary (as defined below),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w:t>
      </w:r>
    </w:p>
    <w:p>
      <w:pPr>
        <w:spacing w:after="0" w:line="30" w:lineRule="exact"/>
        <w:rPr>
          <w:sz w:val="20"/>
          <w:szCs w:val="20"/>
          <w:color w:val="auto"/>
        </w:rPr>
      </w:pPr>
    </w:p>
    <w:p>
      <w:pPr>
        <w:jc w:val="both"/>
        <w:ind w:left="660" w:firstLine="644"/>
        <w:spacing w:after="0" w:line="249" w:lineRule="auto"/>
        <w:tabs>
          <w:tab w:leader="none" w:pos="194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and Affiliated Entities</w:t>
      </w:r>
      <w:r>
        <w:rPr>
          <w:rFonts w:ascii="Times New Roman" w:cs="Times New Roman" w:eastAsia="Times New Roman" w:hAnsi="Times New Roman"/>
          <w:sz w:val="22"/>
          <w:szCs w:val="22"/>
          <w:color w:val="auto"/>
        </w:rPr>
        <w:t>. Each of the Company’s direct and indirect subsidiaries as defined under Rule 405 that meets the definition of “significant subsidiary” in Article 1, Rule 1-02 of Regulation S-X under the Exchange Act (each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xml:space="preserve">”) as of the date hereof has been identified on </w:t>
      </w:r>
      <w:r>
        <w:rPr>
          <w:rFonts w:ascii="Times New Roman" w:cs="Times New Roman" w:eastAsia="Times New Roman" w:hAnsi="Times New Roman"/>
          <w:sz w:val="22"/>
          <w:szCs w:val="22"/>
          <w:u w:val="single" w:color="auto"/>
          <w:color w:val="auto"/>
        </w:rPr>
        <w:t>Schedule 3(a)(i)</w:t>
      </w:r>
      <w:r>
        <w:rPr>
          <w:rFonts w:ascii="Times New Roman" w:cs="Times New Roman" w:eastAsia="Times New Roman" w:hAnsi="Times New Roman"/>
          <w:sz w:val="22"/>
          <w:szCs w:val="22"/>
          <w:color w:val="auto"/>
        </w:rPr>
        <w:t xml:space="preserve"> hereto. Except as set forth in the SEC Documents, each of the Subsidiaries has been duly incorporated, is validly existing as a corporation in good standing under the laws of the jurisdiction of its incorporation, has the corporate power and authority to own its property and to conduct its business; all of the equity interests of each Subsidiary have been duly and validly authorized and issued, are owned directly or indirectly by the Company, are fully paid and non-assessable and, are free and clear of all liens, encumbrances, equities or claims. None of the outstanding share capital or equity interest in any Subsidiary was issued in violation of pre-emptive or similar rights of any security holder of such Subsidiary. All of the constitutive or organizational documents of each of the Subsidiaries comply with the requirements of applicable laws of its jurisdiction of incorporation or organization and are in full force and effect.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5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Affiliated Entities. As used in this Agreement, “</w:t>
      </w:r>
      <w:r>
        <w:rPr>
          <w:rFonts w:ascii="Times New Roman" w:cs="Times New Roman" w:eastAsia="Times New Roman" w:hAnsi="Times New Roman"/>
          <w:sz w:val="22"/>
          <w:szCs w:val="22"/>
          <w:b w:val="1"/>
          <w:bCs w:val="1"/>
          <w:color w:val="auto"/>
        </w:rPr>
        <w:t>Affiliated Entities</w:t>
      </w:r>
      <w:r>
        <w:rPr>
          <w:rFonts w:ascii="Times New Roman" w:cs="Times New Roman" w:eastAsia="Times New Roman" w:hAnsi="Times New Roman"/>
          <w:sz w:val="22"/>
          <w:szCs w:val="22"/>
          <w:color w:val="auto"/>
        </w:rPr>
        <w:t>” means the consolidated entities which the Company controls and through which the Company conducts its operations in the People’s Republic of China (“</w:t>
      </w:r>
      <w:r>
        <w:rPr>
          <w:rFonts w:ascii="Times New Roman" w:cs="Times New Roman" w:eastAsia="Times New Roman" w:hAnsi="Times New Roman"/>
          <w:sz w:val="22"/>
          <w:szCs w:val="22"/>
          <w:b w:val="1"/>
          <w:bCs w:val="1"/>
          <w:color w:val="auto"/>
        </w:rPr>
        <w:t>PRC</w:t>
      </w:r>
      <w:r>
        <w:rPr>
          <w:rFonts w:ascii="Times New Roman" w:cs="Times New Roman" w:eastAsia="Times New Roman" w:hAnsi="Times New Roman"/>
          <w:sz w:val="22"/>
          <w:szCs w:val="22"/>
          <w:color w:val="auto"/>
        </w:rPr>
        <w:t>”) by way of contractual arrangements.</w:t>
      </w:r>
    </w:p>
    <w:p>
      <w:pPr>
        <w:spacing w:after="0" w:line="170" w:lineRule="exact"/>
        <w:rPr>
          <w:rFonts w:ascii="Times New Roman" w:cs="Times New Roman" w:eastAsia="Times New Roman" w:hAnsi="Times New Roman"/>
          <w:sz w:val="22"/>
          <w:szCs w:val="22"/>
          <w:color w:val="auto"/>
        </w:rPr>
      </w:pPr>
    </w:p>
    <w:p>
      <w:pPr>
        <w:jc w:val="both"/>
        <w:ind w:firstLine="655"/>
        <w:spacing w:after="0" w:line="261" w:lineRule="auto"/>
        <w:tabs>
          <w:tab w:leader="none" w:pos="129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Enforcement; Validity</w:t>
      </w:r>
      <w:r>
        <w:rPr>
          <w:rFonts w:ascii="Times New Roman" w:cs="Times New Roman" w:eastAsia="Times New Roman" w:hAnsi="Times New Roman"/>
          <w:sz w:val="21"/>
          <w:szCs w:val="21"/>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Notes and the reservation for issuance and issuance of the Conversion Shares ) have been duly authorized by the Company’s board of directors and each of its Subsidiaries’ board of directors or other governing body, as applicable, and (other than (i) the filing with the SEC of (A) the applicable 6-K Filing (as defined below), (B) the Indenture (and/or any amendment or supplement thereto), (C) a Form T-1, (D) a prospectus supplement in connection with the applicable Closing as required by the Registration Statement pursuant to Rule 424(b) under the 1933 Act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Supplement</w:t>
      </w:r>
      <w:r>
        <w:rPr>
          <w:rFonts w:ascii="Times New Roman" w:cs="Times New Roman" w:eastAsia="Times New Roman" w:hAnsi="Times New Roman"/>
          <w:sz w:val="21"/>
          <w:szCs w:val="21"/>
          <w:color w:val="auto"/>
        </w:rPr>
        <w:t>”) supplementing the base prospectus forming part of the Registration Statement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and (E)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filings as may be required by any state securities agencies and the China Securities Regulatory Commission (“</w:t>
      </w:r>
      <w:r>
        <w:rPr>
          <w:rFonts w:ascii="Times New Roman" w:cs="Times New Roman" w:eastAsia="Times New Roman" w:hAnsi="Times New Roman"/>
          <w:sz w:val="21"/>
          <w:szCs w:val="21"/>
          <w:b w:val="1"/>
          <w:bCs w:val="1"/>
          <w:color w:val="auto"/>
        </w:rPr>
        <w:t>CSRC</w:t>
      </w:r>
      <w:r>
        <w:rPr>
          <w:rFonts w:ascii="Times New Roman" w:cs="Times New Roman" w:eastAsia="Times New Roman" w:hAnsi="Times New Roman"/>
          <w:sz w:val="21"/>
          <w:szCs w:val="21"/>
          <w:color w:val="auto"/>
        </w:rPr>
        <w:t>”)</w:t>
      </w:r>
    </w:p>
    <w:p>
      <w:pPr>
        <w:sectPr>
          <w:pgSz w:w="11900" w:h="16838" w:orient="portrait"/>
          <w:cols w:equalWidth="0" w:num="1">
            <w:col w:w="10920"/>
          </w:cols>
          <w:pgMar w:left="320" w:top="1440" w:right="659" w:bottom="1440" w:gutter="0" w:footer="0" w:header="0"/>
        </w:sectPr>
      </w:pPr>
    </w:p>
    <w:bookmarkStart w:id="207" w:name="page208"/>
    <w:bookmarkEnd w:id="207"/>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Required Approvals</w:t>
      </w:r>
      <w:r>
        <w:rPr>
          <w:rFonts w:ascii="Times New Roman" w:cs="Times New Roman" w:eastAsia="Times New Roman" w:hAnsi="Times New Roman"/>
          <w:sz w:val="22"/>
          <w:szCs w:val="22"/>
          <w:color w:val="auto"/>
        </w:rPr>
        <w:t>”)) no further filing, consent or authorization is required by the Company, its Subsidiaries, their respective boards of directors or their shareholders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collectively, this Agreement, the Notes, the Indenture, the Supplemental Indentures, the Irrevocable Transfer Agent Instructions, the Custodian Agreements (as defined below), the Leak-Out Agreement (as defined below), the Administrative Fee Letter (as defined below) and each of the other agreements and instruments entered into or delivered by any of the parties hereto in connection with the transactions contemplated hereby and thereby, as may be amended from time to time.</w:t>
      </w:r>
    </w:p>
    <w:p>
      <w:pPr>
        <w:spacing w:after="0" w:line="188" w:lineRule="exact"/>
        <w:rPr>
          <w:sz w:val="20"/>
          <w:szCs w:val="20"/>
          <w:color w:val="auto"/>
        </w:rPr>
      </w:pPr>
    </w:p>
    <w:p>
      <w:pPr>
        <w:jc w:val="both"/>
        <w:ind w:firstLine="655"/>
        <w:spacing w:after="0" w:line="247" w:lineRule="auto"/>
        <w:tabs>
          <w:tab w:leader="none" w:pos="129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Securities; Registration Statement</w:t>
      </w:r>
      <w:r>
        <w:rPr>
          <w:rFonts w:ascii="Times New Roman" w:cs="Times New Roman" w:eastAsia="Times New Roman" w:hAnsi="Times New Roman"/>
          <w:sz w:val="22"/>
          <w:szCs w:val="22"/>
          <w:color w:val="auto"/>
        </w:rPr>
        <w:t>. The issuance of the Notes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with respect to the issuance thereof. As of each Closing, the Company shall have reserved from its duly authorized share capital not less than the Required Reserve Amount (as defined below). Upon issuance or conversion in accordance with this Agreement and/or the Notes, as applicable, the Conversion Shares, when issued, will be validly issued, fully paid and nonassessable and free from all preemptive or similar rights or Liens with respect to the issue thereof, with the holders being entitled to all rights accorded to a holder of Ordinary Shares. The issuance by the Company of the Securities has been registered under the 1933 Act, the Securities are being issued pursuant to the Registration Statement and all of the Securities are freely transferable and freely tradable by each of the Buyers without restriction, whether by way of registration or some exemption therefrom, assuming the accuracy of the representations and warranties of the Buyers in this Agreement.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of the Prospectus (as supplemented by the Prospectus Supplement)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complied in all material respects with the requirements of the 1933 Act and the Securities Exchange Act of 1934, as amended (the “</w:t>
      </w:r>
      <w:r>
        <w:rPr>
          <w:rFonts w:ascii="Times New Roman" w:cs="Times New Roman" w:eastAsia="Times New Roman" w:hAnsi="Times New Roman"/>
          <w:sz w:val="22"/>
          <w:szCs w:val="22"/>
          <w:b w:val="1"/>
          <w:bCs w:val="1"/>
          <w:color w:val="auto"/>
        </w:rPr>
        <w:t>1934 Act</w:t>
      </w:r>
      <w:r>
        <w:rPr>
          <w:rFonts w:ascii="Times New Roman" w:cs="Times New Roman" w:eastAsia="Times New Roman" w:hAnsi="Times New Roman"/>
          <w:sz w:val="22"/>
          <w:szCs w:val="22"/>
          <w:color w:val="auto"/>
        </w:rPr>
        <w:t>”) and the rules and regulations of the SEC promulgated thereunder and all other applicable laws and regulations. At the time the Registration Statement and any</w:t>
      </w:r>
    </w:p>
    <w:p>
      <w:pPr>
        <w:sectPr>
          <w:pgSz w:w="11900" w:h="16838" w:orient="portrait"/>
          <w:cols w:equalWidth="0" w:num="1">
            <w:col w:w="10920"/>
          </w:cols>
          <w:pgMar w:left="320" w:top="1440" w:right="659" w:bottom="1440" w:gutter="0" w:footer="0" w:header="0"/>
        </w:sectPr>
      </w:pPr>
    </w:p>
    <w:bookmarkStart w:id="208" w:name="page209"/>
    <w:bookmarkEnd w:id="208"/>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the TIA (as defined below) did not and will not contain any untrue statement of a material fact or omit to state any material fact required to be stated therein or necessary to make the statements therein not misleading; the Prospectus and any amendments or supplements thereto (including, without limitation the Prospectus Supplement), at the time the Prospectus or any amendment or supplement thereto was issued and at the applicable Closing Date, complied, and will comply, in all material respects with the requirements of the 1933 Act and did not, and will not, contain any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in the Registration Statement and the Prospectus and any amendment or supplement thereto made in reliance upon and in conformity with information relating to any underwriter or placement agent furnished to the Company in writing by such underwriter or placement agent expressly for use therein. The Company meets all of the requirements for the use of Form F-3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 At the earliest time after the filing of the Registration Statement that the Company or another offering participant made a bona fide offer (within the meaning of Rule 164(h)(2) under the 1933 Act) relating to any of the Securities, the Company was not and is not an “Ineligible Issuer” (as defined in Rule 405 under the 1933 Act). The Registration Statement has been filed with the SEC not earlier than three years prior to the date hereof; and no notice of objection of the SEC to the use of such registration statement or any post-effective amendment thereto pursuant to Rule 401(g)(2) under the 1933 Act has been received by the Company. The Company (i) has not distributed any offering material in connection with the offer or sale of any of the Securities and (ii) until no Buyer holds any of the Securities, shall not distribute any offering material in connection with the offer or sale of any of the Securities to, or by, any of the Buyers (if required), in each case, other than the Registration Statement, the Prospectus or the Prospectus Supplement. In accordance with Rule 5110(b)(7)(C)(i) of the Financial Industry Regulatory Authority Manual, the offering of the Securities has been registered with the SEC on Form F-3 under the 1933 Act pursuant to the standards for Form F-3 in effect prior to October 21, 1992, and the Securities are being offered pursuant to Rule 415 promulgated under the 1933 Act.</w:t>
      </w:r>
    </w:p>
    <w:p>
      <w:pPr>
        <w:spacing w:after="0" w:line="200" w:lineRule="exact"/>
        <w:rPr>
          <w:sz w:val="20"/>
          <w:szCs w:val="20"/>
          <w:color w:val="auto"/>
        </w:rPr>
      </w:pPr>
    </w:p>
    <w:p>
      <w:pPr>
        <w:spacing w:after="0" w:line="267" w:lineRule="exact"/>
        <w:rPr>
          <w:sz w:val="20"/>
          <w:szCs w:val="20"/>
          <w:color w:val="auto"/>
        </w:rPr>
      </w:pPr>
    </w:p>
    <w:p>
      <w:pPr>
        <w:jc w:val="both"/>
        <w:ind w:firstLine="655"/>
        <w:spacing w:after="0" w:line="250" w:lineRule="auto"/>
        <w:tabs>
          <w:tab w:leader="none" w:pos="12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the Transaction Documents by the Company and the consummation by the Company of the transactions contemplated hereby and thereby (including, without limitation, the issuance of the Notes and the reservation for issuance and issuance of the Conversion Shares) will not (i) result in a violation of the Memorandum of Association (as defined below), the Articles of Association (as defined below), or the certificate of formation, memorandum of</w:t>
      </w:r>
    </w:p>
    <w:p>
      <w:pPr>
        <w:sectPr>
          <w:pgSz w:w="11900" w:h="16838" w:orient="portrait"/>
          <w:cols w:equalWidth="0" w:num="1">
            <w:col w:w="10920"/>
          </w:cols>
          <w:pgMar w:left="320" w:top="1440" w:right="659" w:bottom="1440" w:gutter="0" w:footer="0" w:header="0"/>
        </w:sectPr>
      </w:pPr>
    </w:p>
    <w:bookmarkStart w:id="209" w:name="page210"/>
    <w:bookmarkEnd w:id="209"/>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association, articles of association, bylaws or other organizational documents of the Company or any of its Subsidiaries, or any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Global Market (the </w:t>
      </w:r>
      <w:r>
        <w:rPr>
          <w:rFonts w:ascii="Times New Roman" w:cs="Times New Roman" w:eastAsia="Times New Roman" w:hAnsi="Times New Roman"/>
          <w:sz w:val="21"/>
          <w:szCs w:val="21"/>
          <w:b w:val="1"/>
          <w:bCs w:val="1"/>
          <w:color w:val="auto"/>
        </w:rPr>
        <w:t>“Principal Market</w:t>
      </w:r>
      <w:r>
        <w:rPr>
          <w:rFonts w:ascii="Times New Roman" w:cs="Times New Roman" w:eastAsia="Times New Roman" w:hAnsi="Times New Roman"/>
          <w:sz w:val="21"/>
          <w:szCs w:val="21"/>
          <w:color w:val="auto"/>
        </w:rPr>
        <w:t>”) and including all applicable foreign, federal and state laws, rules and regulations, including, without limitation, the laws, rules and regulations of the Cayman Islands or PRC applicable to the Company or any of its Subsidiaries or by which any property or asset of the Company or any of its Subsidiaries is bound or affected), assuming, with respect to clauses (ii) and (iii) above, the receipt of the Required Approvals and except, in the case of clauses (ii) and (iii), as would not, individually or in the aggregate, reasonably be expected to have a Material Adverse Effect.</w:t>
      </w:r>
    </w:p>
    <w:p>
      <w:pPr>
        <w:spacing w:after="0" w:line="176" w:lineRule="exact"/>
        <w:rPr>
          <w:sz w:val="20"/>
          <w:szCs w:val="20"/>
          <w:color w:val="auto"/>
        </w:rPr>
      </w:pPr>
    </w:p>
    <w:p>
      <w:pPr>
        <w:jc w:val="both"/>
        <w:ind w:firstLine="655"/>
        <w:spacing w:after="0" w:line="247" w:lineRule="auto"/>
        <w:tabs>
          <w:tab w:leader="none" w:pos="129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Neither the Company nor any Subsidiary is required to obtain any consent from, authorization or order of, or make any filing or registration with (other than the Required Approvals),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such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Ordinary Shares.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4"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Regarding Buyer’s Purchase of Securities</w:t>
      </w:r>
      <w:r>
        <w:rPr>
          <w:rFonts w:ascii="Times New Roman" w:cs="Times New Roman" w:eastAsia="Times New Roman" w:hAnsi="Times New Roman"/>
          <w:sz w:val="22"/>
          <w:szCs w:val="22"/>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1933 Act (or a successor rule thereto) (collectively,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of the Company or any of its Subsidiaries or (iii) to its knowledge, a “beneficial owner” of more than 10% of the Ordinary Shares (as defined for purposes of</w:t>
      </w:r>
    </w:p>
    <w:p>
      <w:pPr>
        <w:sectPr>
          <w:pgSz w:w="11900" w:h="16838" w:orient="portrait"/>
          <w:cols w:equalWidth="0" w:num="1">
            <w:col w:w="10920"/>
          </w:cols>
          <w:pgMar w:left="320" w:top="1440" w:right="659" w:bottom="1440" w:gutter="0" w:footer="0" w:header="0"/>
        </w:sectPr>
      </w:pPr>
    </w:p>
    <w:bookmarkStart w:id="210" w:name="page211"/>
    <w:bookmarkEnd w:id="210"/>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80" w:lineRule="exact"/>
        <w:rPr>
          <w:sz w:val="20"/>
          <w:szCs w:val="20"/>
          <w:color w:val="auto"/>
        </w:rPr>
      </w:pPr>
    </w:p>
    <w:p>
      <w:pPr>
        <w:jc w:val="both"/>
        <w:ind w:firstLine="655"/>
        <w:spacing w:after="0" w:line="262" w:lineRule="auto"/>
        <w:tabs>
          <w:tab w:leader="none" w:pos="129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 Agent’s Fees</w:t>
      </w:r>
      <w:r>
        <w:rPr>
          <w:rFonts w:ascii="Times New Roman" w:cs="Times New Roman" w:eastAsia="Times New Roman" w:hAnsi="Times New Roman"/>
          <w:sz w:val="21"/>
          <w:szCs w:val="21"/>
          <w:color w:val="auto"/>
        </w:rPr>
        <w:t>.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D. Boral Capital, LLC, as placement agent (the “</w:t>
      </w:r>
      <w:r>
        <w:rPr>
          <w:rFonts w:ascii="Times New Roman" w:cs="Times New Roman" w:eastAsia="Times New Roman" w:hAnsi="Times New Roman"/>
          <w:sz w:val="21"/>
          <w:szCs w:val="21"/>
          <w:b w:val="1"/>
          <w:bCs w:val="1"/>
          <w:color w:val="auto"/>
        </w:rPr>
        <w:t>Placement Agent</w:t>
      </w:r>
      <w:r>
        <w:rPr>
          <w:rFonts w:ascii="Times New Roman" w:cs="Times New Roman" w:eastAsia="Times New Roman" w:hAnsi="Times New Roman"/>
          <w:sz w:val="21"/>
          <w:szCs w:val="21"/>
          <w:color w:val="auto"/>
        </w:rPr>
        <w:t xml:space="preserve">”) in connection with the sale of the Securities. The fees and expenses of the Placement Agent to be paid by the Company or any of its Subsidiaries are as set forth on </w:t>
      </w:r>
      <w:r>
        <w:rPr>
          <w:rFonts w:ascii="Times New Roman" w:cs="Times New Roman" w:eastAsia="Times New Roman" w:hAnsi="Times New Roman"/>
          <w:sz w:val="21"/>
          <w:szCs w:val="21"/>
          <w:u w:val="single" w:color="auto"/>
          <w:color w:val="auto"/>
        </w:rPr>
        <w:t>Schedule 3(g)</w:t>
      </w:r>
      <w:r>
        <w:rPr>
          <w:rFonts w:ascii="Times New Roman" w:cs="Times New Roman" w:eastAsia="Times New Roman" w:hAnsi="Times New Roman"/>
          <w:sz w:val="21"/>
          <w:szCs w:val="21"/>
          <w:color w:val="auto"/>
        </w:rPr>
        <w:t xml:space="preserve"> attached hereto. The Company shall pay, and hold each Buyer harmless against, any liability, loss or expense (including, without limitation, attorney’s fees and out-of-pocket expenses) arising in connection with any such claim (other than from Persons engaged by any Buyer or its investment advisor). The Company acknowledges that it has engaged the Placement Agent in connection with the sale of the Securities. Other than the Placement Agent, neither the Company nor any of its Subsidiaries has engaged any placement agent or other agent in connection with the offer or sale of the Securities.</w:t>
      </w:r>
    </w:p>
    <w:p>
      <w:pPr>
        <w:spacing w:after="0" w:line="171" w:lineRule="exact"/>
        <w:rPr>
          <w:rFonts w:ascii="Times New Roman" w:cs="Times New Roman" w:eastAsia="Times New Roman" w:hAnsi="Times New Roman"/>
          <w:sz w:val="21"/>
          <w:szCs w:val="21"/>
          <w:color w:val="auto"/>
        </w:rPr>
      </w:pPr>
    </w:p>
    <w:p>
      <w:pPr>
        <w:jc w:val="both"/>
        <w:ind w:firstLine="655"/>
        <w:spacing w:after="0" w:line="263" w:lineRule="auto"/>
        <w:tabs>
          <w:tab w:leader="none" w:pos="129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Integrated Offering</w:t>
      </w:r>
      <w:r>
        <w:rPr>
          <w:rFonts w:ascii="Times New Roman" w:cs="Times New Roman" w:eastAsia="Times New Roman" w:hAnsi="Times New Roman"/>
          <w:sz w:val="21"/>
          <w:szCs w:val="21"/>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shareholders of the Company under any applicable shareholder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6" w:lineRule="exact"/>
        <w:rPr>
          <w:rFonts w:ascii="Times New Roman" w:cs="Times New Roman" w:eastAsia="Times New Roman" w:hAnsi="Times New Roman"/>
          <w:sz w:val="21"/>
          <w:szCs w:val="21"/>
          <w:color w:val="auto"/>
        </w:rPr>
      </w:pPr>
    </w:p>
    <w:p>
      <w:pPr>
        <w:jc w:val="both"/>
        <w:ind w:firstLine="655"/>
        <w:spacing w:after="0" w:line="250" w:lineRule="auto"/>
        <w:tabs>
          <w:tab w:leader="none" w:pos="128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Dilutive Effect</w:t>
      </w:r>
      <w:r>
        <w:rPr>
          <w:rFonts w:ascii="Times New Roman" w:cs="Times New Roman" w:eastAsia="Times New Roman" w:hAnsi="Times New Roman"/>
          <w:sz w:val="22"/>
          <w:szCs w:val="22"/>
          <w:color w:val="auto"/>
        </w:rPr>
        <w:t>. The Company understands and acknowledges that the number of Conversion Shares could increase in certain circumstances. The Company further acknowledges that its obligation to issue the Conversion Shares pursuant to the terms of the Notes in accordance with this Agreement and the Notes is, in each case, absolute and unconditional regardless of the dilutive effect that such issuance may have on the ownership interests of other shareholders of the Company.</w:t>
      </w:r>
    </w:p>
    <w:p>
      <w:pPr>
        <w:spacing w:after="0" w:line="194" w:lineRule="exact"/>
        <w:rPr>
          <w:rFonts w:ascii="Times New Roman" w:cs="Times New Roman" w:eastAsia="Times New Roman" w:hAnsi="Times New Roman"/>
          <w:sz w:val="22"/>
          <w:szCs w:val="22"/>
          <w:color w:val="auto"/>
        </w:rPr>
      </w:pPr>
    </w:p>
    <w:p>
      <w:pPr>
        <w:jc w:val="both"/>
        <w:ind w:firstLine="655"/>
        <w:spacing w:after="0" w:line="257" w:lineRule="auto"/>
        <w:tabs>
          <w:tab w:leader="none" w:pos="128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Takeover Protections; Rights Agreement</w:t>
      </w:r>
      <w:r>
        <w:rPr>
          <w:rFonts w:ascii="Times New Roman" w:cs="Times New Roman" w:eastAsia="Times New Roman" w:hAnsi="Times New Roman"/>
          <w:sz w:val="22"/>
          <w:szCs w:val="22"/>
          <w:color w:val="auto"/>
        </w:rPr>
        <w:t>. The Company and its board of directors have taken all necessary action, if any, in order to render inapplicable any control share acquisition, interested shareholder, business combination, poison pill (including, without limitation, any distribution under a rights agreement),</w:t>
      </w:r>
    </w:p>
    <w:p>
      <w:pPr>
        <w:sectPr>
          <w:pgSz w:w="11900" w:h="16838" w:orient="portrait"/>
          <w:cols w:equalWidth="0" w:num="1">
            <w:col w:w="10920"/>
          </w:cols>
          <w:pgMar w:left="320" w:top="1440" w:right="659" w:bottom="1440" w:gutter="0" w:footer="0" w:header="0"/>
        </w:sectPr>
      </w:pPr>
    </w:p>
    <w:bookmarkStart w:id="211" w:name="page212"/>
    <w:bookmarkEnd w:id="21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shareholder rights plan or other similar anti-takeover provision under the Memorandum and Articles of Association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shareholder rights plan or similar arrangement relating to accumulations of beneficial ownership of Ordinary Shares or a change in control of the Company or any of its Subsidiaries.</w:t>
      </w:r>
    </w:p>
    <w:p>
      <w:pPr>
        <w:spacing w:after="0" w:line="181" w:lineRule="exact"/>
        <w:rPr>
          <w:sz w:val="20"/>
          <w:szCs w:val="20"/>
          <w:color w:val="auto"/>
        </w:rPr>
      </w:pPr>
    </w:p>
    <w:p>
      <w:pPr>
        <w:jc w:val="both"/>
        <w:ind w:firstLine="655"/>
        <w:spacing w:after="0" w:line="259" w:lineRule="auto"/>
        <w:tabs>
          <w:tab w:leader="none" w:pos="129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 Documents; Financial Statements</w:t>
      </w:r>
      <w:r>
        <w:rPr>
          <w:rFonts w:ascii="Times New Roman" w:cs="Times New Roman" w:eastAsia="Times New Roman" w:hAnsi="Times New Roman"/>
          <w:sz w:val="21"/>
          <w:szCs w:val="21"/>
          <w:color w:val="auto"/>
        </w:rPr>
        <w:t>. During the two (2) years prior to the date hereof, the Company has timely filed all reports, schedules, forms, proxy statements, statements and other documents required to be filed or furnished by it with the SEC pursuant to the reporting requirements of the 1934 Act (all of the reports, schedules, registrations, forms, statements, information and other documents filed with or furnished to the SEC by the Company and which hereafter may be filed with or furnished to the SEC by the Company, together with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1"/>
          <w:szCs w:val="21"/>
          <w:b w:val="1"/>
          <w:bCs w:val="1"/>
          <w:color w:val="auto"/>
        </w:rPr>
        <w:t>SEC Documents</w:t>
      </w:r>
      <w:r>
        <w:rPr>
          <w:rFonts w:ascii="Times New Roman" w:cs="Times New Roman" w:eastAsia="Times New Roman" w:hAnsi="Times New Roman"/>
          <w:sz w:val="21"/>
          <w:szCs w:val="21"/>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of this Agreement or in the disclosure schedules to this Agreement) contains any untrue statement of a material fact or omits to state any material fact necessary in</w:t>
      </w:r>
    </w:p>
    <w:p>
      <w:pPr>
        <w:sectPr>
          <w:pgSz w:w="11900" w:h="16838" w:orient="portrait"/>
          <w:cols w:equalWidth="0" w:num="1">
            <w:col w:w="10920"/>
          </w:cols>
          <w:pgMar w:left="320" w:top="1440" w:right="659" w:bottom="1440" w:gutter="0" w:footer="0" w:header="0"/>
        </w:sectPr>
      </w:pPr>
    </w:p>
    <w:bookmarkStart w:id="212" w:name="page213"/>
    <w:bookmarkEnd w:id="212"/>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95" w:lineRule="exact"/>
        <w:rPr>
          <w:sz w:val="20"/>
          <w:szCs w:val="20"/>
          <w:color w:val="auto"/>
        </w:rPr>
      </w:pPr>
    </w:p>
    <w:p>
      <w:pPr>
        <w:jc w:val="both"/>
        <w:ind w:firstLine="655"/>
        <w:spacing w:after="0" w:line="248" w:lineRule="auto"/>
        <w:tabs>
          <w:tab w:leader="none" w:pos="128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Since the date of the Company’s most recent audited financial statements contained in a Form 20-F,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20-F,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40" w:lineRule="exact"/>
        <w:rPr>
          <w:rFonts w:ascii="Times New Roman" w:cs="Times New Roman" w:eastAsia="Times New Roman" w:hAnsi="Times New Roman"/>
          <w:sz w:val="22"/>
          <w:szCs w:val="22"/>
          <w:color w:val="auto"/>
        </w:rPr>
      </w:pPr>
    </w:p>
    <w:p>
      <w:pPr>
        <w:jc w:val="both"/>
        <w:ind w:firstLine="655"/>
        <w:spacing w:after="0" w:line="250" w:lineRule="auto"/>
        <w:tabs>
          <w:tab w:leader="none" w:pos="128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Undisclosed Events, Liabilities, Developments or Circumstances</w:t>
      </w:r>
      <w:r>
        <w:rPr>
          <w:rFonts w:ascii="Times New Roman" w:cs="Times New Roman" w:eastAsia="Times New Roman" w:hAnsi="Times New Roman"/>
          <w:sz w:val="22"/>
          <w:szCs w:val="22"/>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F-3 filed with the SEC relating to an issuance and sale by the Company of its Ordinary Shares, and which has not been publicly announced, (ii) could have a material adverse effect on any Buyer’s investment hereunder or (iii) could have a Material Adverse Effect.</w:t>
      </w:r>
    </w:p>
    <w:p>
      <w:pPr>
        <w:spacing w:after="0" w:line="180" w:lineRule="exact"/>
        <w:rPr>
          <w:rFonts w:ascii="Times New Roman" w:cs="Times New Roman" w:eastAsia="Times New Roman" w:hAnsi="Times New Roman"/>
          <w:sz w:val="22"/>
          <w:szCs w:val="22"/>
          <w:color w:val="auto"/>
        </w:rPr>
      </w:pPr>
    </w:p>
    <w:p>
      <w:pPr>
        <w:jc w:val="both"/>
        <w:ind w:firstLine="655"/>
        <w:spacing w:after="0" w:line="250" w:lineRule="auto"/>
        <w:tabs>
          <w:tab w:leader="none" w:pos="129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 Regulatory Permits</w:t>
      </w:r>
      <w:r>
        <w:rPr>
          <w:rFonts w:ascii="Times New Roman" w:cs="Times New Roman" w:eastAsia="Times New Roman" w:hAnsi="Times New Roman"/>
          <w:sz w:val="22"/>
          <w:szCs w:val="22"/>
          <w:color w:val="auto"/>
        </w:rPr>
        <w:t>. Neither the Company nor any of its Subsidiaries is in violation of any term of or in default under its Articles of Association, any certificate of designation, preferences or rights of any other outstanding series of preferred shares of the Company or any of its Subsidiaries or Memorandum of Association or their organizational charter, certificate of formation, memorandum of association, articles of association, Articles of Association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w:t>
      </w:r>
    </w:p>
    <w:p>
      <w:pPr>
        <w:sectPr>
          <w:pgSz w:w="11900" w:h="16838" w:orient="portrait"/>
          <w:cols w:equalWidth="0" w:num="1">
            <w:col w:w="10920"/>
          </w:cols>
          <w:pgMar w:left="320" w:top="1440" w:right="659" w:bottom="1440" w:gutter="0" w:footer="0" w:header="0"/>
        </w:sectPr>
      </w:pPr>
    </w:p>
    <w:bookmarkStart w:id="213" w:name="page214"/>
    <w:bookmarkEnd w:id="213"/>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Ordinary Shares by the Principal Market in the foreseeable future. During the two years prior to the date hereof, (i) the Ordinary Shares has been listed or designated for quotation on the Principal Market, (ii) trading in the Ordinary Shares has not been suspended by the SEC or the Principal Market and (iii) the Company has received no communication, written or oral, from the SEC or the Principal Market regarding the suspension or delisting of the Ordinary Shares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91" w:lineRule="exact"/>
        <w:rPr>
          <w:sz w:val="20"/>
          <w:szCs w:val="20"/>
          <w:color w:val="auto"/>
        </w:rPr>
      </w:pPr>
    </w:p>
    <w:p>
      <w:pPr>
        <w:jc w:val="both"/>
        <w:ind w:firstLine="655"/>
        <w:spacing w:after="0" w:line="249" w:lineRule="auto"/>
        <w:tabs>
          <w:tab w:leader="none" w:pos="129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In the past five (5) years, neither the Company, the Company’s Subsidiary or any director, or (to the knowledge of the Company) officer, agent, employee, nor any other person acting for or on behalf of the foregoing (individually and collectively, a “</w:t>
      </w:r>
      <w:r>
        <w:rPr>
          <w:rFonts w:ascii="Times New Roman" w:cs="Times New Roman" w:eastAsia="Times New Roman" w:hAnsi="Times New Roman"/>
          <w:sz w:val="22"/>
          <w:szCs w:val="22"/>
          <w:b w:val="1"/>
          <w:bCs w:val="1"/>
          <w:color w:val="auto"/>
        </w:rPr>
        <w:t>Company Affiliate</w:t>
      </w:r>
      <w:r>
        <w:rPr>
          <w:rFonts w:ascii="Times New Roman" w:cs="Times New Roman" w:eastAsia="Times New Roman" w:hAnsi="Times New Roman"/>
          <w:sz w:val="22"/>
          <w:szCs w:val="22"/>
          <w:color w:val="auto"/>
        </w:rPr>
        <w:t>”) have violated the U.S. Foreign Corrupt Practices Act (the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83" w:lineRule="exact"/>
        <w:rPr>
          <w:rFonts w:ascii="Times New Roman" w:cs="Times New Roman" w:eastAsia="Times New Roman" w:hAnsi="Times New Roman"/>
          <w:sz w:val="22"/>
          <w:szCs w:val="22"/>
          <w:color w:val="auto"/>
        </w:rPr>
      </w:pPr>
    </w:p>
    <w:p>
      <w:pPr>
        <w:jc w:val="both"/>
        <w:ind w:left="660" w:right="20" w:firstLine="1292"/>
        <w:spacing w:after="0" w:line="256" w:lineRule="auto"/>
        <w:tabs>
          <w:tab w:leader="none" w:pos="259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76"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9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the Company or its Subsidiaries in obtaining or retaining business for or with, or directing business to, the Company or its Subsidiaries.</w:t>
      </w:r>
    </w:p>
    <w:p>
      <w:pPr>
        <w:sectPr>
          <w:pgSz w:w="11900" w:h="16838" w:orient="portrait"/>
          <w:cols w:equalWidth="0" w:num="1">
            <w:col w:w="10920"/>
          </w:cols>
          <w:pgMar w:left="320" w:top="1440" w:right="659" w:bottom="1440" w:gutter="0" w:footer="0" w:header="0"/>
        </w:sectPr>
      </w:pPr>
    </w:p>
    <w:bookmarkStart w:id="214" w:name="page215"/>
    <w:bookmarkEnd w:id="214"/>
    <w:p>
      <w:pPr>
        <w:spacing w:after="0" w:line="198" w:lineRule="exact"/>
        <w:rPr>
          <w:sz w:val="20"/>
          <w:szCs w:val="20"/>
          <w:color w:val="auto"/>
        </w:rPr>
      </w:pPr>
    </w:p>
    <w:p>
      <w:pPr>
        <w:jc w:val="both"/>
        <w:ind w:left="-655" w:firstLine="655"/>
        <w:spacing w:after="0" w:line="257" w:lineRule="auto"/>
        <w:tabs>
          <w:tab w:leader="none" w:pos="63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86" w:lineRule="exact"/>
        <w:rPr>
          <w:rFonts w:ascii="Times New Roman" w:cs="Times New Roman" w:eastAsia="Times New Roman" w:hAnsi="Times New Roman"/>
          <w:sz w:val="22"/>
          <w:szCs w:val="22"/>
          <w:color w:val="auto"/>
        </w:rPr>
      </w:pPr>
    </w:p>
    <w:p>
      <w:pPr>
        <w:jc w:val="both"/>
        <w:ind w:left="-655" w:firstLine="655"/>
        <w:spacing w:after="0" w:line="246" w:lineRule="auto"/>
        <w:tabs>
          <w:tab w:leader="none" w:pos="63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Except as would not reasonably result (or with the passage of time, would reasonably be expected to result, as applicable) in a Material Adverse Effect, no current or former employee, partner, director, officer or shareholder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equity of a company whose securities are traded on or quoted through an Eligible Market (as defined in </w:t>
      </w:r>
      <w:r>
        <w:rPr>
          <w:rFonts w:ascii="Times New Roman" w:cs="Times New Roman" w:eastAsia="Times New Roman" w:hAnsi="Times New Roman"/>
          <w:sz w:val="22"/>
          <w:szCs w:val="22"/>
          <w:u w:val="single" w:color="auto"/>
          <w:color w:val="auto"/>
        </w:rPr>
        <w:t>Section 4(i)</w:t>
      </w:r>
      <w:r>
        <w:rPr>
          <w:rFonts w:ascii="Times New Roman" w:cs="Times New Roman" w:eastAsia="Times New Roman" w:hAnsi="Times New Roman"/>
          <w:sz w:val="22"/>
          <w:szCs w:val="22"/>
          <w:color w:val="auto"/>
        </w:rPr>
        <w:t>)), nor does any such Person receive income from any source other than the Company or its Subsidiaries which relates to the business of the Company or its Subsidiaries or should properly accrue to the Company or its Subsidiaries. Except as would not reasonably result (or with the passage of time, would reasonably be expected to result, as applicable) in a Material Adverse Effect,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share option agreements outstanding under any share option plan approved by the Board of Directors of the Company).</w:t>
      </w:r>
    </w:p>
    <w:p>
      <w:pPr>
        <w:spacing w:after="0" w:line="211"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Capitalization.</w:t>
      </w:r>
    </w:p>
    <w:p>
      <w:pPr>
        <w:spacing w:after="0" w:line="219" w:lineRule="exact"/>
        <w:rPr>
          <w:rFonts w:ascii="Times New Roman" w:cs="Times New Roman" w:eastAsia="Times New Roman" w:hAnsi="Times New Roman"/>
          <w:sz w:val="22"/>
          <w:szCs w:val="22"/>
          <w:color w:val="auto"/>
        </w:rPr>
      </w:pPr>
    </w:p>
    <w:p>
      <w:pPr>
        <w:ind w:left="1285" w:hanging="636"/>
        <w:spacing w:after="0"/>
        <w:tabs>
          <w:tab w:leader="none" w:pos="1285"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1925" w:hanging="628"/>
        <w:spacing w:after="0"/>
        <w:tabs>
          <w:tab w:leader="none" w:pos="192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means (x) the Company’s ordinary shares,</w:t>
      </w:r>
    </w:p>
    <w:p>
      <w:pPr>
        <w:spacing w:after="0" w:line="32" w:lineRule="exact"/>
        <w:rPr>
          <w:sz w:val="20"/>
          <w:szCs w:val="20"/>
          <w:color w:val="auto"/>
        </w:rPr>
      </w:pPr>
    </w:p>
    <w:p>
      <w:pPr>
        <w:ind w:left="645"/>
        <w:spacing w:after="0" w:line="248" w:lineRule="auto"/>
        <w:rPr>
          <w:sz w:val="20"/>
          <w:szCs w:val="20"/>
          <w:color w:val="auto"/>
        </w:rPr>
      </w:pPr>
      <w:r>
        <w:rPr>
          <w:rFonts w:ascii="Times New Roman" w:cs="Times New Roman" w:eastAsia="Times New Roman" w:hAnsi="Times New Roman"/>
          <w:sz w:val="22"/>
          <w:szCs w:val="22"/>
          <w:color w:val="auto"/>
        </w:rPr>
        <w:t>$0.000005 par value per share, and (y) any share capital into which such ordinary shares shall have been changed or any share capital resulting from a reclassification of such ordinary shares.</w:t>
      </w:r>
    </w:p>
    <w:p>
      <w:pPr>
        <w:spacing w:after="0" w:line="178" w:lineRule="exact"/>
        <w:rPr>
          <w:sz w:val="20"/>
          <w:szCs w:val="20"/>
          <w:color w:val="auto"/>
        </w:rPr>
      </w:pPr>
    </w:p>
    <w:p>
      <w:pPr>
        <w:jc w:val="both"/>
        <w:ind w:left="645" w:firstLine="652"/>
        <w:spacing w:after="0" w:line="258"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Blank Check Shares</w:t>
      </w:r>
      <w:r>
        <w:rPr>
          <w:rFonts w:ascii="Times New Roman" w:cs="Times New Roman" w:eastAsia="Times New Roman" w:hAnsi="Times New Roman"/>
          <w:sz w:val="22"/>
          <w:szCs w:val="22"/>
          <w:color w:val="auto"/>
        </w:rPr>
        <w:t>” means (x) the Company’s blank check shares, $0.000005 par value per share, the terms of which may be designated by the board of directors of the Company in a certificate of designations and (y) any share capital into which such shares shall have been changed or any share capital resulting from a reclassification of such</w:t>
      </w:r>
    </w:p>
    <w:p>
      <w:pPr>
        <w:sectPr>
          <w:pgSz w:w="11900" w:h="16838" w:orient="portrait"/>
          <w:cols w:equalWidth="0" w:num="1">
            <w:col w:w="10265"/>
          </w:cols>
          <w:pgMar w:left="975" w:top="1440" w:right="659" w:bottom="1440" w:gutter="0" w:footer="0" w:header="0"/>
        </w:sectPr>
      </w:pPr>
    </w:p>
    <w:bookmarkStart w:id="215" w:name="page216"/>
    <w:bookmarkEnd w:id="215"/>
    <w:p>
      <w:pPr>
        <w:spacing w:after="0" w:line="198"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shares (other than a conversion of such shares into Ordinary Shares in accordance with the terms of such certificate of designations).</w:t>
      </w:r>
    </w:p>
    <w:p>
      <w:pPr>
        <w:spacing w:after="0" w:line="158" w:lineRule="exact"/>
        <w:rPr>
          <w:sz w:val="20"/>
          <w:szCs w:val="20"/>
          <w:color w:val="auto"/>
        </w:rPr>
      </w:pPr>
    </w:p>
    <w:p>
      <w:pPr>
        <w:jc w:val="both"/>
        <w:ind w:left="4" w:firstLine="644"/>
        <w:spacing w:after="0" w:line="250" w:lineRule="auto"/>
        <w:tabs>
          <w:tab w:leader="none" w:pos="129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and Outstanding Share Capital</w:t>
      </w:r>
      <w:r>
        <w:rPr>
          <w:rFonts w:ascii="Times New Roman" w:cs="Times New Roman" w:eastAsia="Times New Roman" w:hAnsi="Times New Roman"/>
          <w:sz w:val="22"/>
          <w:szCs w:val="22"/>
          <w:color w:val="auto"/>
        </w:rPr>
        <w:t>. As of the date hereof, the authorized share capital of the Company consists of (A) 9,000,000,000 Ordinary Shares, of which, 349,791,275 Ordinary Shares are issued and outstanding and 46,280,876 Ordinary Shares are reserved for issuance pursuant to Ordinary Share Equivalents (as defined below) (other than the Notes) exercisable or exchangeable for, or convertible into, Ordinary Shares, and (B) 1,000,000,000 Blank Check Shares, none of which are issued and outstanding. 25,900,751 Ordinary Shares are held in the treasury of the Company. “</w:t>
      </w:r>
      <w:r>
        <w:rPr>
          <w:rFonts w:ascii="Times New Roman" w:cs="Times New Roman" w:eastAsia="Times New Roman" w:hAnsi="Times New Roman"/>
          <w:sz w:val="22"/>
          <w:szCs w:val="22"/>
          <w:b w:val="1"/>
          <w:bCs w:val="1"/>
          <w:color w:val="auto"/>
        </w:rPr>
        <w:t>Ordinary Share Equivalents</w:t>
      </w:r>
      <w:r>
        <w:rPr>
          <w:rFonts w:ascii="Times New Roman" w:cs="Times New Roman" w:eastAsia="Times New Roman" w:hAnsi="Times New Roman"/>
          <w:sz w:val="22"/>
          <w:szCs w:val="22"/>
          <w:color w:val="auto"/>
        </w:rPr>
        <w:t>” means any share capital or other security of the Company or any of its Subsidiaries that is at any time and under any circumstances directly or indirectly convertible into, exercisable or exchangeable for, or which otherwise entitles the holder thereof to acquire, any share capital or other security of the Company (including, without limitation, Ordinary Shares) or any of its Subsidiaries.</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67" w:lineRule="auto"/>
        <w:tabs>
          <w:tab w:leader="none" w:pos="130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 Issuance; Available Shares; Affiliates</w:t>
      </w:r>
      <w:r>
        <w:rPr>
          <w:rFonts w:ascii="Times New Roman" w:cs="Times New Roman" w:eastAsia="Times New Roman" w:hAnsi="Times New Roman"/>
          <w:sz w:val="21"/>
          <w:szCs w:val="21"/>
          <w:color w:val="auto"/>
        </w:rPr>
        <w:t xml:space="preserve">. All of such issued and outstanding shares are duly authorized and have been, or upon issuance will be, validly issued and are fully paid and nonassessable. </w:t>
      </w:r>
      <w:r>
        <w:rPr>
          <w:rFonts w:ascii="Times New Roman" w:cs="Times New Roman" w:eastAsia="Times New Roman" w:hAnsi="Times New Roman"/>
          <w:sz w:val="21"/>
          <w:szCs w:val="21"/>
          <w:u w:val="single" w:color="auto"/>
          <w:color w:val="auto"/>
        </w:rPr>
        <w:t>Schedule 3(r)</w:t>
      </w:r>
    </w:p>
    <w:p>
      <w:pPr>
        <w:spacing w:after="0" w:line="1" w:lineRule="exact"/>
        <w:rPr>
          <w:rFonts w:ascii="Times New Roman" w:cs="Times New Roman" w:eastAsia="Times New Roman" w:hAnsi="Times New Roman"/>
          <w:sz w:val="21"/>
          <w:szCs w:val="21"/>
          <w:color w:val="auto"/>
        </w:rPr>
      </w:pPr>
    </w:p>
    <w:p>
      <w:pPr>
        <w:jc w:val="both"/>
        <w:ind w:left="4" w:hanging="4"/>
        <w:spacing w:after="0" w:line="260" w:lineRule="auto"/>
        <w:tabs>
          <w:tab w:leader="none" w:pos="385" w:val="left"/>
        </w:tabs>
        <w:numPr>
          <w:ilvl w:val="0"/>
          <w:numId w:val="14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sets forth the number of Ordinary Shares, that are, as of the date hereof owned by Persons who are “affiliates” (as defined in Rule 405 of the 1933 Act and calculated based on the assumption that only officers, directors and holders of at least 10% of the Company’s issued and outstanding Ordinary Shares, are “affiliates” without conceding that any such Persons are “affiliates” for purposes of federal securities laws) of the Company or any of its Subsidiaries. Except as set forth on </w:t>
      </w:r>
      <w:r>
        <w:rPr>
          <w:rFonts w:ascii="Times New Roman" w:cs="Times New Roman" w:eastAsia="Times New Roman" w:hAnsi="Times New Roman"/>
          <w:sz w:val="21"/>
          <w:szCs w:val="21"/>
          <w:u w:val="single" w:color="auto"/>
          <w:color w:val="auto"/>
        </w:rPr>
        <w:t>Schedule 3(r)(iii)</w:t>
      </w:r>
      <w:r>
        <w:rPr>
          <w:rFonts w:ascii="Times New Roman" w:cs="Times New Roman" w:eastAsia="Times New Roman" w:hAnsi="Times New Roman"/>
          <w:sz w:val="21"/>
          <w:szCs w:val="21"/>
          <w:color w:val="auto"/>
        </w:rPr>
        <w:t>, to the Company’s knowledge, no Person owns 10% or more of the Company’s issued and outstanding Ordinary Shares (calculated based on the assumption that all Ordinary Share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shareholder for purposes of federal securities laws).</w:t>
      </w:r>
    </w:p>
    <w:p>
      <w:pPr>
        <w:spacing w:after="0" w:line="36" w:lineRule="exact"/>
        <w:rPr>
          <w:rFonts w:ascii="Times New Roman" w:cs="Times New Roman" w:eastAsia="Times New Roman" w:hAnsi="Times New Roman"/>
          <w:sz w:val="21"/>
          <w:szCs w:val="21"/>
          <w:u w:val="single" w:color="auto"/>
          <w:color w:val="auto"/>
        </w:rPr>
      </w:pPr>
    </w:p>
    <w:p>
      <w:pPr>
        <w:jc w:val="both"/>
        <w:ind w:left="4" w:firstLine="644"/>
        <w:spacing w:after="0" w:line="247" w:lineRule="auto"/>
        <w:tabs>
          <w:tab w:leader="none" w:pos="1288"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Securities; Obligations</w:t>
      </w:r>
      <w:r>
        <w:rPr>
          <w:rFonts w:ascii="Times New Roman" w:cs="Times New Roman" w:eastAsia="Times New Roman" w:hAnsi="Times New Roman"/>
          <w:sz w:val="22"/>
          <w:szCs w:val="22"/>
          <w:color w:val="auto"/>
        </w:rPr>
        <w:t>. (A) None of the Company’s or any Subsidiary’s shares, interests or share capital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share capital of the Company or any of its Subsidiaries, or contracts, commitments, understandings or arrangements by which the Company or any of its Subsidiaries is or may become bound to issue additional shares, interests or share capital of the Company or any of its Subsidiaries or options, warrants, scrip, rights to subscribe to, calls or commitments of any character whatsoever relating to, or securities or rights convertible into, or exercisable or exchangeable for, any shares, interests or share capital of the Company or any of its Subsidiaries; (C) there are no agreements or arrangements under which the Company or any of its</w:t>
      </w:r>
    </w:p>
    <w:p>
      <w:pPr>
        <w:sectPr>
          <w:pgSz w:w="11900" w:h="16838" w:orient="portrait"/>
          <w:cols w:equalWidth="0" w:num="1">
            <w:col w:w="10264"/>
          </w:cols>
          <w:pgMar w:left="976" w:top="1440" w:right="659" w:bottom="1440" w:gutter="0" w:footer="0" w:header="0"/>
        </w:sectPr>
      </w:pPr>
    </w:p>
    <w:bookmarkStart w:id="216" w:name="page217"/>
    <w:bookmarkEnd w:id="216"/>
    <w:p>
      <w:pPr>
        <w:spacing w:after="0" w:line="50"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22"/>
          <w:szCs w:val="22"/>
          <w:color w:val="auto"/>
        </w:rPr>
        <w:t>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share appreciation rights or “phantom share” plans or agreements or any similar plan or agreement.</w:t>
      </w:r>
    </w:p>
    <w:p>
      <w:pPr>
        <w:spacing w:after="0" w:line="194" w:lineRule="exact"/>
        <w:rPr>
          <w:sz w:val="20"/>
          <w:szCs w:val="20"/>
          <w:color w:val="auto"/>
        </w:rPr>
      </w:pPr>
    </w:p>
    <w:p>
      <w:pPr>
        <w:jc w:val="both"/>
        <w:ind w:left="5" w:firstLine="644"/>
        <w:spacing w:after="0" w:line="250" w:lineRule="auto"/>
        <w:tabs>
          <w:tab w:leader="none" w:pos="129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The Company has furnished to the Buyers true, correct and complete copies of the Company’s memorandum of association (as amended and as in effect on the date hereof, the “</w:t>
      </w:r>
      <w:r>
        <w:rPr>
          <w:rFonts w:ascii="Times New Roman" w:cs="Times New Roman" w:eastAsia="Times New Roman" w:hAnsi="Times New Roman"/>
          <w:sz w:val="22"/>
          <w:szCs w:val="22"/>
          <w:b w:val="1"/>
          <w:bCs w:val="1"/>
          <w:color w:val="auto"/>
        </w:rPr>
        <w:t>Memorandum of Association</w:t>
      </w:r>
      <w:r>
        <w:rPr>
          <w:rFonts w:ascii="Times New Roman" w:cs="Times New Roman" w:eastAsia="Times New Roman" w:hAnsi="Times New Roman"/>
          <w:sz w:val="22"/>
          <w:szCs w:val="22"/>
          <w:color w:val="auto"/>
        </w:rPr>
        <w:t>”) and articles of association (as amended and as in effect on the date hereof, the “</w:t>
      </w:r>
      <w:r>
        <w:rPr>
          <w:rFonts w:ascii="Times New Roman" w:cs="Times New Roman" w:eastAsia="Times New Roman" w:hAnsi="Times New Roman"/>
          <w:sz w:val="22"/>
          <w:szCs w:val="22"/>
          <w:b w:val="1"/>
          <w:bCs w:val="1"/>
          <w:color w:val="auto"/>
        </w:rPr>
        <w:t>Articles of Association</w:t>
      </w:r>
      <w:r>
        <w:rPr>
          <w:rFonts w:ascii="Times New Roman" w:cs="Times New Roman" w:eastAsia="Times New Roman" w:hAnsi="Times New Roman"/>
          <w:sz w:val="22"/>
          <w:szCs w:val="22"/>
          <w:color w:val="auto"/>
        </w:rPr>
        <w:t>”), and the terms of all Ordinary Share Equivalents and the material rights of the holders thereof in respect thereto.</w:t>
      </w:r>
    </w:p>
    <w:p>
      <w:pPr>
        <w:spacing w:after="0" w:line="194" w:lineRule="exact"/>
        <w:rPr>
          <w:rFonts w:ascii="Times New Roman" w:cs="Times New Roman" w:eastAsia="Times New Roman" w:hAnsi="Times New Roman"/>
          <w:sz w:val="22"/>
          <w:szCs w:val="22"/>
          <w:color w:val="auto"/>
        </w:rPr>
      </w:pPr>
    </w:p>
    <w:p>
      <w:pPr>
        <w:jc w:val="both"/>
        <w:ind w:left="-655" w:firstLine="655"/>
        <w:spacing w:after="0" w:line="259" w:lineRule="auto"/>
        <w:tabs>
          <w:tab w:leader="none" w:pos="63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Indebtedness and Other Contracts</w:t>
      </w:r>
      <w:r>
        <w:rPr>
          <w:rFonts w:ascii="Times New Roman" w:cs="Times New Roman" w:eastAsia="Times New Roman" w:hAnsi="Times New Roman"/>
          <w:sz w:val="21"/>
          <w:szCs w:val="21"/>
          <w:color w:val="auto"/>
        </w:rPr>
        <w:t>. Except as disclosed on Schedule 3(s) hereto, neither the Company nor any of its Subsidiaries, (i) has any outstanding debt securities, notes, credit agreements, credit facilities or other agreements, documents or instruments evidencing Indebtedness (other than Contingent Obligations (as defined below)) of the Company or any of its Subsidiaries or by which the Company or any of its Subsidiaries is or may become bound, which individually or in the aggregate is equal to or exceeds $20,000,000,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“Indebtedness” of any Person means, without duplication (A) all indebtedness for borrowed money, (B) all obligations issued, undertaken or assumed as the deferred purchase price of property or services (including, without limitation, “capital leases” in accordance with GAAP),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w:t>
      </w:r>
    </w:p>
    <w:p>
      <w:pPr>
        <w:sectPr>
          <w:pgSz w:w="11900" w:h="16838" w:orient="portrait"/>
          <w:cols w:equalWidth="0" w:num="1">
            <w:col w:w="10265"/>
          </w:cols>
          <w:pgMar w:left="975" w:top="1440" w:right="659" w:bottom="1440" w:gutter="0" w:footer="0" w:header="0"/>
        </w:sectPr>
      </w:pPr>
    </w:p>
    <w:bookmarkStart w:id="217" w:name="page218"/>
    <w:bookmarkEnd w:id="217"/>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but excluding (I) trade payables entered into and other accrued liabilities (including liabilities for deferred revenue or contract liabilities and obligations or liabilities in respect of government, municipal, or other public grants, incentives, or subsidies) incurred in the ordinary course of business, (II) obligations under operating leases, (III) customary warranties, indemnities, and surety bonds incurred in the ordinary course of business, and (IV) Indebtedness that exist between the Company and its wholly-owned Subsidiaries or between the Company’s wholly-owned Subsidiaries; (y) “</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limited liability company, a partnership, a joint venture, a corporation, a trust, an unincorporated organization, any other entity and any Governmental Entity or any department or agency thereof.</w:t>
      </w:r>
    </w:p>
    <w:p>
      <w:pPr>
        <w:spacing w:after="0" w:line="197" w:lineRule="exact"/>
        <w:rPr>
          <w:sz w:val="20"/>
          <w:szCs w:val="20"/>
          <w:color w:val="auto"/>
        </w:rPr>
      </w:pPr>
    </w:p>
    <w:p>
      <w:pPr>
        <w:jc w:val="both"/>
        <w:ind w:firstLine="655"/>
        <w:spacing w:after="0" w:line="247" w:lineRule="auto"/>
        <w:tabs>
          <w:tab w:leader="none" w:pos="128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Ordinary Shares or any of the Company’s or its Subsidiaries’ officers or directors, whether of a civil or criminal nature or otherwise, in their capacities as such, which is outside of the ordinary course of business or individually or in the aggregate could not have a Material Adverse Effect.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including, without limitation, the Registration Statement. After reasonable inquiry of its employees, the Company is not aware of any fact which might result in or form the basis for any such action, suit, arbitration, investigation, inquiry or other proceeding which individually or in the aggregate could have a Material Adverse Effect. Neither the Company nor any of its Subsidiaries is subject to any order, writ, judgment, injunction, decree, determination or</w:t>
      </w:r>
    </w:p>
    <w:p>
      <w:pPr>
        <w:sectPr>
          <w:pgSz w:w="11900" w:h="16838" w:orient="portrait"/>
          <w:cols w:equalWidth="0" w:num="1">
            <w:col w:w="10920"/>
          </w:cols>
          <w:pgMar w:left="320" w:top="1440" w:right="659" w:bottom="1440" w:gutter="0" w:footer="0" w:header="0"/>
        </w:sectPr>
      </w:pPr>
    </w:p>
    <w:bookmarkStart w:id="218" w:name="page219"/>
    <w:bookmarkEnd w:id="21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 of any Governmental Entity which individually or in the aggregate could have a Material Adverse Effect.</w:t>
      </w:r>
    </w:p>
    <w:p>
      <w:pPr>
        <w:spacing w:after="0" w:line="220" w:lineRule="exact"/>
        <w:rPr>
          <w:sz w:val="20"/>
          <w:szCs w:val="20"/>
          <w:color w:val="auto"/>
        </w:rPr>
      </w:pPr>
    </w:p>
    <w:p>
      <w:pPr>
        <w:jc w:val="both"/>
        <w:ind w:firstLine="655"/>
        <w:spacing w:after="0" w:line="250" w:lineRule="auto"/>
        <w:tabs>
          <w:tab w:leader="none" w:pos="129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93" w:lineRule="exact"/>
        <w:rPr>
          <w:rFonts w:ascii="Times New Roman" w:cs="Times New Roman" w:eastAsia="Times New Roman" w:hAnsi="Times New Roman"/>
          <w:sz w:val="22"/>
          <w:szCs w:val="22"/>
          <w:color w:val="auto"/>
        </w:rPr>
      </w:pPr>
    </w:p>
    <w:p>
      <w:pPr>
        <w:jc w:val="both"/>
        <w:ind w:firstLine="655"/>
        <w:spacing w:after="0" w:line="247" w:lineRule="auto"/>
        <w:tabs>
          <w:tab w:leader="none" w:pos="129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Relations</w:t>
      </w:r>
      <w:r>
        <w:rPr>
          <w:rFonts w:ascii="Times New Roman" w:cs="Times New Roman" w:eastAsia="Times New Roman" w:hAnsi="Times New Roman"/>
          <w:sz w:val="22"/>
          <w:szCs w:val="22"/>
          <w:color w:val="auto"/>
        </w:rPr>
        <w:t>. Neither the Company nor any of its Subsidiaries is a party to any collective bargaining agreement or employs any member of a union. The Company and its Subsidiaries believe that their relations with their employees are good. No current (or former)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4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Other than as could not impair the present or anticipated use of the Real Property in any material respect, (A) each of the Company and its Subsidiaries holds good title to or valid leasehold interest in all real property which is material to the business of the Company and its Subsidiaries (the “</w:t>
      </w:r>
      <w:r>
        <w:rPr>
          <w:rFonts w:ascii="Times New Roman" w:cs="Times New Roman" w:eastAsia="Times New Roman" w:hAnsi="Times New Roman"/>
          <w:sz w:val="21"/>
          <w:szCs w:val="21"/>
          <w:b w:val="1"/>
          <w:bCs w:val="1"/>
          <w:color w:val="auto"/>
        </w:rPr>
        <w:t>Real Property</w:t>
      </w:r>
      <w:r>
        <w:rPr>
          <w:rFonts w:ascii="Times New Roman" w:cs="Times New Roman" w:eastAsia="Times New Roman" w:hAnsi="Times New Roman"/>
          <w:sz w:val="21"/>
          <w:szCs w:val="21"/>
          <w:color w:val="auto"/>
        </w:rPr>
        <w:t>”), (B) the Real Property is free and clear of all Liens and is not subject to any rights of way, building use restrictions, exceptions, variances, reservations, or limitations of any nature except for (x) Liens for current taxes not yet due and (y) zoning laws and other land use restrictions that do not impair the present or anticipated use of the property subject thereto, and (C)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ectPr>
          <w:pgSz w:w="11900" w:h="16838" w:orient="portrait"/>
          <w:cols w:equalWidth="0" w:num="1">
            <w:col w:w="10920"/>
          </w:cols>
          <w:pgMar w:left="320" w:top="1440" w:right="659" w:bottom="1440" w:gutter="0" w:footer="0" w:header="0"/>
        </w:sectPr>
      </w:pPr>
    </w:p>
    <w:bookmarkStart w:id="219" w:name="page220"/>
    <w:bookmarkEnd w:id="219"/>
    <w:p>
      <w:pPr>
        <w:spacing w:after="0" w:line="198" w:lineRule="exact"/>
        <w:rPr>
          <w:sz w:val="20"/>
          <w:szCs w:val="20"/>
          <w:color w:val="auto"/>
        </w:rPr>
      </w:pPr>
    </w:p>
    <w:p>
      <w:pPr>
        <w:jc w:val="both"/>
        <w:ind w:left="5" w:firstLine="644"/>
        <w:spacing w:after="0" w:line="248" w:lineRule="auto"/>
        <w:tabs>
          <w:tab w:leader="none" w:pos="1295"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Fixtures and Equipment</w:t>
      </w:r>
      <w:r>
        <w:rPr>
          <w:rFonts w:ascii="Times New Roman" w:cs="Times New Roman" w:eastAsia="Times New Roman" w:hAnsi="Times New Roman"/>
          <w:sz w:val="22"/>
          <w:szCs w:val="22"/>
          <w:color w:val="auto"/>
        </w:rPr>
        <w:t>. Other than as could not impair the present or anticipated use of the Fixtures and Equipment in any material respect, (A) each of the Company and its Subsidiaries (as applicable) has good title to, or a valid leasehold interest in, the tangible personal property, equipment, improvements, fixtures, and other personal property and appurtenances that are used by the Company or its Subsidiary which is material to the business of the Company and its Subsidiaries (the “</w:t>
      </w:r>
      <w:r>
        <w:rPr>
          <w:rFonts w:ascii="Times New Roman" w:cs="Times New Roman" w:eastAsia="Times New Roman" w:hAnsi="Times New Roman"/>
          <w:sz w:val="22"/>
          <w:szCs w:val="22"/>
          <w:b w:val="1"/>
          <w:bCs w:val="1"/>
          <w:color w:val="auto"/>
        </w:rPr>
        <w:t>Fixtures and Equipment</w:t>
      </w:r>
      <w:r>
        <w:rPr>
          <w:rFonts w:ascii="Times New Roman" w:cs="Times New Roman" w:eastAsia="Times New Roman" w:hAnsi="Times New Roman"/>
          <w:sz w:val="22"/>
          <w:szCs w:val="22"/>
          <w:color w:val="auto"/>
        </w:rPr>
        <w:t>”), (B)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such Closing, and (C)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88" w:lineRule="exact"/>
        <w:rPr>
          <w:rFonts w:ascii="Times New Roman" w:cs="Times New Roman" w:eastAsia="Times New Roman" w:hAnsi="Times New Roman"/>
          <w:sz w:val="22"/>
          <w:szCs w:val="22"/>
          <w:color w:val="auto"/>
        </w:rPr>
      </w:pPr>
    </w:p>
    <w:p>
      <w:pPr>
        <w:jc w:val="both"/>
        <w:ind w:left="-655" w:firstLine="655"/>
        <w:spacing w:after="0" w:line="261" w:lineRule="auto"/>
        <w:tabs>
          <w:tab w:leader="none" w:pos="63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necessary to conduct their respective businesses as now conducted and presently proposed to be conducted, except where the failure to own or possess any of the foregoing would not reasonably be expected to result in a Material Adverse Effect. The Company does not have any knowledge of any infringement by the Company or its Subsidiaries of Intellectual Property Rights of others which, individually or in the aggregate, would have a Material Adverse Effect in the event of an unfavorable decision, ruling or finding. There is no claim, action or proceeding being made or brought, or to the knowledge of the Company or any of its Subsidiaries, being threatened, against the Company or any of its Subsidiaries regarding its Intellectual Property Rights which, individually or in the aggregate, would have a Material Adverse Effect in the event of an unfavorable decision, ruling or finding.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70" w:lineRule="exact"/>
        <w:rPr>
          <w:rFonts w:ascii="Times New Roman" w:cs="Times New Roman" w:eastAsia="Times New Roman" w:hAnsi="Times New Roman"/>
          <w:sz w:val="21"/>
          <w:szCs w:val="21"/>
          <w:color w:val="auto"/>
        </w:rPr>
      </w:pPr>
    </w:p>
    <w:p>
      <w:pPr>
        <w:jc w:val="both"/>
        <w:ind w:left="-655" w:firstLine="655"/>
        <w:spacing w:after="0" w:line="253" w:lineRule="auto"/>
        <w:tabs>
          <w:tab w:leader="none" w:pos="63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except where, in each of the foregoing clauses (A), (B) and (C), the failure to so comply or have such permits, licenses or other approval, as applicable, would not reasonably</w:t>
      </w:r>
    </w:p>
    <w:p>
      <w:pPr>
        <w:sectPr>
          <w:pgSz w:w="11900" w:h="16838" w:orient="portrait"/>
          <w:cols w:equalWidth="0" w:num="1">
            <w:col w:w="10265"/>
          </w:cols>
          <w:pgMar w:left="975" w:top="1440" w:right="659" w:bottom="1440" w:gutter="0" w:footer="0" w:header="0"/>
        </w:sectPr>
      </w:pPr>
    </w:p>
    <w:bookmarkStart w:id="220" w:name="page221"/>
    <w:bookmarkEnd w:id="220"/>
    <w:p>
      <w:pPr>
        <w:spacing w:after="0" w:line="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be expected to have, individually or in the aggregate, a Material Adverse Effect. The term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82" w:lineRule="exact"/>
        <w:rPr>
          <w:sz w:val="20"/>
          <w:szCs w:val="20"/>
          <w:color w:val="auto"/>
        </w:rPr>
      </w:pPr>
    </w:p>
    <w:p>
      <w:pPr>
        <w:ind w:left="1940" w:hanging="636"/>
        <w:spacing w:after="0"/>
        <w:tabs>
          <w:tab w:leader="none" w:pos="19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Hazardous Materials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20" w:firstLine="1280"/>
        <w:spacing w:after="0" w:line="271" w:lineRule="auto"/>
        <w:tabs>
          <w:tab w:leader="none" w:pos="3238"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disposed of or otherwise released from any Real Property of the Company or any of its Subsidiaries in violation of any Environmental Laws; or</w:t>
      </w:r>
    </w:p>
    <w:p>
      <w:pPr>
        <w:spacing w:after="0" w:line="157" w:lineRule="exact"/>
        <w:rPr>
          <w:rFonts w:ascii="Times New Roman" w:cs="Times New Roman" w:eastAsia="Times New Roman" w:hAnsi="Times New Roman"/>
          <w:sz w:val="22"/>
          <w:szCs w:val="22"/>
          <w:color w:val="auto"/>
        </w:rPr>
      </w:pPr>
    </w:p>
    <w:p>
      <w:pPr>
        <w:jc w:val="both"/>
        <w:ind w:left="1320" w:firstLine="1280"/>
        <w:spacing w:after="0" w:line="256" w:lineRule="auto"/>
        <w:tabs>
          <w:tab w:leader="none" w:pos="3240"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Real Properties are on any federal or state “Superfund” list or Liability Information System (“</w:t>
      </w:r>
      <w:r>
        <w:rPr>
          <w:rFonts w:ascii="Times New Roman" w:cs="Times New Roman" w:eastAsia="Times New Roman" w:hAnsi="Times New Roman"/>
          <w:sz w:val="22"/>
          <w:szCs w:val="22"/>
          <w:b w:val="1"/>
          <w:bCs w:val="1"/>
          <w:color w:val="auto"/>
        </w:rPr>
        <w:t>CERCLIS</w:t>
      </w:r>
      <w:r>
        <w:rPr>
          <w:rFonts w:ascii="Times New Roman" w:cs="Times New Roman" w:eastAsia="Times New Roman" w:hAnsi="Times New Roman"/>
          <w:sz w:val="22"/>
          <w:szCs w:val="22"/>
          <w:color w:val="auto"/>
        </w:rPr>
        <w:t>”) list or any state environmental agency list of sites under consideration for CERCLIS, nor subject to any environmental related Liens.</w:t>
      </w:r>
    </w:p>
    <w:p>
      <w:pPr>
        <w:spacing w:after="0" w:line="172" w:lineRule="exact"/>
        <w:rPr>
          <w:rFonts w:ascii="Times New Roman" w:cs="Times New Roman" w:eastAsia="Times New Roman" w:hAnsi="Times New Roman"/>
          <w:sz w:val="22"/>
          <w:szCs w:val="22"/>
          <w:color w:val="auto"/>
        </w:rPr>
      </w:pPr>
    </w:p>
    <w:p>
      <w:pPr>
        <w:jc w:val="both"/>
        <w:ind w:firstLine="655"/>
        <w:spacing w:after="0" w:line="263" w:lineRule="auto"/>
        <w:tabs>
          <w:tab w:leader="none" w:pos="12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Subsidiary Rights</w:t>
      </w:r>
      <w:r>
        <w:rPr>
          <w:rFonts w:ascii="Times New Roman" w:cs="Times New Roman" w:eastAsia="Times New Roman" w:hAnsi="Times New Roman"/>
          <w:sz w:val="22"/>
          <w:szCs w:val="22"/>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7" w:lineRule="exact"/>
        <w:rPr>
          <w:sz w:val="20"/>
          <w:szCs w:val="20"/>
          <w:color w:val="auto"/>
        </w:rPr>
      </w:pPr>
    </w:p>
    <w:p>
      <w:pPr>
        <w:jc w:val="both"/>
        <w:ind w:firstLine="655"/>
        <w:spacing w:after="0" w:line="250" w:lineRule="auto"/>
        <w:tabs>
          <w:tab w:leader="none" w:pos="103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Except where the failure to do so would not, individually or in the aggregate, have a Material Adverse Effect,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w:t>
      </w:r>
    </w:p>
    <w:p>
      <w:pPr>
        <w:sectPr>
          <w:pgSz w:w="11900" w:h="16838" w:orient="portrait"/>
          <w:cols w:equalWidth="0" w:num="1">
            <w:col w:w="10920"/>
          </w:cols>
          <w:pgMar w:left="320" w:top="1440" w:right="659" w:bottom="1440" w:gutter="0" w:footer="0" w:header="0"/>
        </w:sectPr>
      </w:pPr>
    </w:p>
    <w:bookmarkStart w:id="221" w:name="page222"/>
    <w:bookmarkEnd w:id="221"/>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amount claimed to be due by the taxing authority of any jurisdiction that would be reasonably likely to result in a Material Adverse Effect, and the officers of the Company and its Subsidiaries know of no basis for any such claim.</w:t>
      </w:r>
    </w:p>
    <w:p>
      <w:pPr>
        <w:spacing w:after="0" w:line="158" w:lineRule="exact"/>
        <w:rPr>
          <w:sz w:val="20"/>
          <w:szCs w:val="20"/>
          <w:color w:val="auto"/>
        </w:rPr>
      </w:pPr>
    </w:p>
    <w:p>
      <w:pPr>
        <w:jc w:val="both"/>
        <w:ind w:firstLine="655"/>
        <w:spacing w:after="0" w:line="247" w:lineRule="auto"/>
        <w:tabs>
          <w:tab w:leader="none" w:pos="107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Accounting and Disclosure Controls</w:t>
      </w:r>
      <w:r>
        <w:rPr>
          <w:rFonts w:ascii="Times New Roman" w:cs="Times New Roman" w:eastAsia="Times New Roman" w:hAnsi="Times New Roman"/>
          <w:sz w:val="22"/>
          <w:szCs w:val="22"/>
          <w:color w:val="auto"/>
        </w:rPr>
        <w:t>. The Company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200" w:lineRule="exact"/>
        <w:rPr>
          <w:rFonts w:ascii="Times New Roman" w:cs="Times New Roman" w:eastAsia="Times New Roman" w:hAnsi="Times New Roman"/>
          <w:sz w:val="22"/>
          <w:szCs w:val="22"/>
          <w:color w:val="auto"/>
        </w:rPr>
      </w:pPr>
    </w:p>
    <w:p>
      <w:pPr>
        <w:jc w:val="both"/>
        <w:ind w:right="20" w:firstLine="655"/>
        <w:spacing w:after="0" w:line="252" w:lineRule="auto"/>
        <w:tabs>
          <w:tab w:leader="none" w:pos="109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 Balance Sheet Arrangements</w:t>
      </w:r>
      <w:r>
        <w:rPr>
          <w:rFonts w:ascii="Times New Roman" w:cs="Times New Roman" w:eastAsia="Times New Roman" w:hAnsi="Times New Roman"/>
          <w:sz w:val="22"/>
          <w:szCs w:val="22"/>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92" w:lineRule="exact"/>
        <w:rPr>
          <w:rFonts w:ascii="Times New Roman" w:cs="Times New Roman" w:eastAsia="Times New Roman" w:hAnsi="Times New Roman"/>
          <w:sz w:val="22"/>
          <w:szCs w:val="22"/>
          <w:color w:val="auto"/>
        </w:rPr>
      </w:pPr>
    </w:p>
    <w:p>
      <w:pPr>
        <w:jc w:val="both"/>
        <w:ind w:firstLine="655"/>
        <w:spacing w:after="0" w:line="252" w:lineRule="auto"/>
        <w:tabs>
          <w:tab w:leader="none" w:pos="106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9" w:lineRule="exact"/>
        <w:rPr>
          <w:rFonts w:ascii="Times New Roman" w:cs="Times New Roman" w:eastAsia="Times New Roman" w:hAnsi="Times New Roman"/>
          <w:sz w:val="22"/>
          <w:szCs w:val="22"/>
          <w:color w:val="auto"/>
        </w:rPr>
      </w:pPr>
    </w:p>
    <w:p>
      <w:pPr>
        <w:ind w:left="1040" w:hanging="385"/>
        <w:spacing w:after="0"/>
        <w:tabs>
          <w:tab w:leader="none" w:pos="104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 Regarding Buyers’ Trading Activity</w:t>
      </w:r>
      <w:r>
        <w:rPr>
          <w:rFonts w:ascii="Times New Roman" w:cs="Times New Roman" w:eastAsia="Times New Roman" w:hAnsi="Times New Roman"/>
          <w:sz w:val="21"/>
          <w:szCs w:val="21"/>
          <w:color w:val="auto"/>
        </w:rPr>
        <w:t>. It is understood and acknowledged by the Company that</w:t>
      </w:r>
    </w:p>
    <w:p>
      <w:pPr>
        <w:spacing w:after="0" w:line="40" w:lineRule="exact"/>
        <w:rPr>
          <w:rFonts w:ascii="Times New Roman" w:cs="Times New Roman" w:eastAsia="Times New Roman" w:hAnsi="Times New Roman"/>
          <w:sz w:val="21"/>
          <w:szCs w:val="21"/>
          <w:color w:val="auto"/>
        </w:rPr>
      </w:pPr>
    </w:p>
    <w:p>
      <w:pPr>
        <w:jc w:val="both"/>
        <w:ind w:firstLine="8"/>
        <w:spacing w:after="0" w:line="248" w:lineRule="auto"/>
        <w:tabs>
          <w:tab w:leader="none" w:pos="30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4(x)</w:t>
      </w:r>
      <w:r>
        <w:rPr>
          <w:rFonts w:ascii="Times New Roman" w:cs="Times New Roman" w:eastAsia="Times New Roman" w:hAnsi="Times New Roman"/>
          <w:sz w:val="22"/>
          <w:szCs w:val="22"/>
          <w:color w:val="auto"/>
        </w:rPr>
        <w:t xml:space="preserve"> below, following the public disclosure of the transactions contemplated by the Transaction Documents, in accordance with the terms thereof, except as provided in the Leak-Out Agreements, none of the Buyers have been asked by the Company or any of its Subsidiaries to agree, nor has any Buyer agreed with the Company or any of its Subsidiaries, to desist from effecting any</w:t>
      </w:r>
    </w:p>
    <w:p>
      <w:pPr>
        <w:sectPr>
          <w:pgSz w:w="11900" w:h="16838" w:orient="portrait"/>
          <w:cols w:equalWidth="0" w:num="1">
            <w:col w:w="10920"/>
          </w:cols>
          <w:pgMar w:left="320" w:top="1440" w:right="659" w:bottom="1440" w:gutter="0" w:footer="0" w:header="0"/>
        </w:sectPr>
      </w:pPr>
    </w:p>
    <w:bookmarkStart w:id="222" w:name="page223"/>
    <w:bookmarkEnd w:id="222"/>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transactions in or with respect to (including, without limitation, purchasing or selling, long and/or short) any securities of the Company, or “derivative” securities based on securities issued by the Company or to hold any of the Securities for any specified term; (ii) subject to </w:t>
      </w:r>
      <w:r>
        <w:rPr>
          <w:rFonts w:ascii="Times New Roman" w:cs="Times New Roman" w:eastAsia="Times New Roman" w:hAnsi="Times New Roman"/>
          <w:sz w:val="21"/>
          <w:szCs w:val="21"/>
          <w:u w:val="single" w:color="auto"/>
          <w:color w:val="auto"/>
        </w:rPr>
        <w:t>Section 2(g)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4(x)</w:t>
      </w:r>
      <w:r>
        <w:rPr>
          <w:rFonts w:ascii="Times New Roman" w:cs="Times New Roman" w:eastAsia="Times New Roman" w:hAnsi="Times New Roman"/>
          <w:sz w:val="21"/>
          <w:szCs w:val="21"/>
          <w:color w:val="auto"/>
        </w:rPr>
        <w:t xml:space="preserve"> below, any Buyer, and counterparties in “derivative” transactions to which any such Buyer is a party, directly or indirectly, presently may have a “short” position in the Ordinary Shares,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Ordinary Shares upon conversion or exchange, as applicable, of the Securities as and when required pursuant to the Transaction Documents for purposes of effecting trading in the Ordinary Shares of the Company. The Company further understands and acknowledges that, subject to </w:t>
      </w:r>
      <w:r>
        <w:rPr>
          <w:rFonts w:ascii="Times New Roman" w:cs="Times New Roman" w:eastAsia="Times New Roman" w:hAnsi="Times New Roman"/>
          <w:sz w:val="21"/>
          <w:szCs w:val="21"/>
          <w:u w:val="single" w:color="auto"/>
          <w:color w:val="auto"/>
        </w:rPr>
        <w:t>Section 4(x)</w:t>
      </w:r>
      <w:r>
        <w:rPr>
          <w:rFonts w:ascii="Times New Roman" w:cs="Times New Roman" w:eastAsia="Times New Roman" w:hAnsi="Times New Roman"/>
          <w:sz w:val="21"/>
          <w:szCs w:val="21"/>
          <w:color w:val="auto"/>
        </w:rPr>
        <w:t xml:space="preserve"> below, following the public disclosure of the transactions contemplated by the Transaction Documents one or more Buyers may engage in hedging and/or trading activities (including, without limitation, the location and/or reservation of borrowable Ordinary Shares) at various times during the period that the Securities are outstanding, including, without limitation, during the periods that the value and/or number of the Conversion deliverable with respect to the Securities are being determined and such hedging and/or trading activities (including, without limitation, the location and/or reservation of borrowable Ordinary Shares), if any, can reduce the value of the existing shareholders’ equity interest in the Company both at and after the time the hedging and/or trading activities are being conducted. Subject to </w:t>
      </w:r>
      <w:r>
        <w:rPr>
          <w:rFonts w:ascii="Times New Roman" w:cs="Times New Roman" w:eastAsia="Times New Roman" w:hAnsi="Times New Roman"/>
          <w:sz w:val="21"/>
          <w:szCs w:val="21"/>
          <w:u w:val="single" w:color="auto"/>
          <w:color w:val="auto"/>
        </w:rPr>
        <w:t>Section 4(x)</w:t>
      </w:r>
      <w:r>
        <w:rPr>
          <w:rFonts w:ascii="Times New Roman" w:cs="Times New Roman" w:eastAsia="Times New Roman" w:hAnsi="Times New Roman"/>
          <w:sz w:val="21"/>
          <w:szCs w:val="21"/>
          <w:color w:val="auto"/>
        </w:rPr>
        <w:t xml:space="preserve"> below, the Company acknowledges that such aforementioned hedging and/or trading activities do not constitute a breach of this Agreement, the Notes or any other Transaction Document or any of the documents executed in connection herewith or therewith.</w:t>
      </w:r>
    </w:p>
    <w:p>
      <w:pPr>
        <w:spacing w:after="0" w:line="196" w:lineRule="exact"/>
        <w:rPr>
          <w:sz w:val="20"/>
          <w:szCs w:val="20"/>
          <w:color w:val="auto"/>
        </w:rPr>
      </w:pPr>
    </w:p>
    <w:p>
      <w:pPr>
        <w:jc w:val="both"/>
        <w:ind w:firstLine="655"/>
        <w:spacing w:after="0" w:line="250" w:lineRule="auto"/>
        <w:tabs>
          <w:tab w:leader="none" w:pos="102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Manipulation of Price</w:t>
      </w:r>
      <w:r>
        <w:rPr>
          <w:rFonts w:ascii="Times New Roman" w:cs="Times New Roman" w:eastAsia="Times New Roman" w:hAnsi="Times New Roman"/>
          <w:sz w:val="22"/>
          <w:szCs w:val="22"/>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0" w:lineRule="exact"/>
        <w:rPr>
          <w:rFonts w:ascii="Times New Roman" w:cs="Times New Roman" w:eastAsia="Times New Roman" w:hAnsi="Times New Roman"/>
          <w:sz w:val="22"/>
          <w:szCs w:val="22"/>
          <w:color w:val="auto"/>
        </w:rPr>
      </w:pPr>
    </w:p>
    <w:p>
      <w:pPr>
        <w:jc w:val="both"/>
        <w:ind w:firstLine="655"/>
        <w:spacing w:after="0" w:line="252" w:lineRule="auto"/>
        <w:tabs>
          <w:tab w:leader="none" w:pos="107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Neither the Company nor any of its Subsidiaries is, or has ever been, and so long as any of the Securities are held by any of the Buyers, shall become, a U.S. real property holding corporation within the meaning of Section 897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the Company and each Subsidiary shall so certify upon any Buyer’s request.</w:t>
      </w:r>
    </w:p>
    <w:p>
      <w:pPr>
        <w:spacing w:after="0" w:line="192" w:lineRule="exact"/>
        <w:rPr>
          <w:rFonts w:ascii="Times New Roman" w:cs="Times New Roman" w:eastAsia="Times New Roman" w:hAnsi="Times New Roman"/>
          <w:sz w:val="22"/>
          <w:szCs w:val="22"/>
          <w:color w:val="auto"/>
        </w:rPr>
      </w:pPr>
    </w:p>
    <w:p>
      <w:pPr>
        <w:ind w:firstLine="655"/>
        <w:spacing w:after="0" w:line="271" w:lineRule="auto"/>
        <w:tabs>
          <w:tab w:leader="none" w:pos="106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Eligibility</w:t>
      </w:r>
      <w:r>
        <w:rPr>
          <w:rFonts w:ascii="Times New Roman" w:cs="Times New Roman" w:eastAsia="Times New Roman" w:hAnsi="Times New Roman"/>
          <w:sz w:val="22"/>
          <w:szCs w:val="22"/>
          <w:color w:val="auto"/>
        </w:rPr>
        <w:t>. The Company is eligible to register the Securities for issuance to the Buyers using Form F-3 promulgated under the 1933 Act.</w:t>
      </w:r>
    </w:p>
    <w:p>
      <w:pPr>
        <w:spacing w:after="0" w:line="157" w:lineRule="exact"/>
        <w:rPr>
          <w:rFonts w:ascii="Times New Roman" w:cs="Times New Roman" w:eastAsia="Times New Roman" w:hAnsi="Times New Roman"/>
          <w:sz w:val="22"/>
          <w:szCs w:val="22"/>
          <w:color w:val="auto"/>
        </w:rPr>
      </w:pPr>
    </w:p>
    <w:p>
      <w:pPr>
        <w:ind w:firstLine="655"/>
        <w:spacing w:after="0" w:line="271" w:lineRule="auto"/>
        <w:tabs>
          <w:tab w:leader="none" w:pos="128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On such Closing Date, all share transfer or other taxes (other than income or similar taxes) which are required to be paid in connection with the</w:t>
      </w:r>
    </w:p>
    <w:p>
      <w:pPr>
        <w:sectPr>
          <w:pgSz w:w="11900" w:h="16838" w:orient="portrait"/>
          <w:cols w:equalWidth="0" w:num="1">
            <w:col w:w="10920"/>
          </w:cols>
          <w:pgMar w:left="320" w:top="1440" w:right="659" w:bottom="1440" w:gutter="0" w:footer="0" w:header="0"/>
        </w:sectPr>
      </w:pPr>
    </w:p>
    <w:bookmarkStart w:id="223" w:name="page224"/>
    <w:bookmarkEnd w:id="22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issuance, sale and transfer of the Securities to be sold to each Buyer hereunder will be, or will have been, fully paid or provided for by the Company, and all laws imposing such taxes will be or will have been complied with.</w:t>
      </w:r>
    </w:p>
    <w:p>
      <w:pPr>
        <w:spacing w:after="0" w:line="158" w:lineRule="exact"/>
        <w:rPr>
          <w:sz w:val="20"/>
          <w:szCs w:val="20"/>
          <w:color w:val="auto"/>
        </w:rPr>
      </w:pPr>
    </w:p>
    <w:p>
      <w:pPr>
        <w:ind w:left="1140" w:hanging="484"/>
        <w:spacing w:after="0"/>
        <w:tabs>
          <w:tab w:leader="none" w:pos="11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Holding Company Act; Regulation U or X</w:t>
      </w:r>
      <w:r>
        <w:rPr>
          <w:rFonts w:ascii="Times New Roman" w:cs="Times New Roman" w:eastAsia="Times New Roman" w:hAnsi="Times New Roman"/>
          <w:sz w:val="22"/>
          <w:szCs w:val="22"/>
          <w:color w:val="auto"/>
        </w:rPr>
        <w:t>.</w:t>
      </w:r>
    </w:p>
    <w:p>
      <w:pPr>
        <w:spacing w:after="0" w:line="327"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4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subject to the Bank Holding Company Act of 1956, as amended (the “</w:t>
      </w:r>
      <w:r>
        <w:rPr>
          <w:rFonts w:ascii="Times New Roman" w:cs="Times New Roman" w:eastAsia="Times New Roman" w:hAnsi="Times New Roman"/>
          <w:sz w:val="22"/>
          <w:szCs w:val="22"/>
          <w:b w:val="1"/>
          <w:bCs w:val="1"/>
          <w:color w:val="auto"/>
        </w:rPr>
        <w:t>BHCA</w:t>
      </w:r>
      <w:r>
        <w:rPr>
          <w:rFonts w:ascii="Times New Roman" w:cs="Times New Roman" w:eastAsia="Times New Roman" w:hAnsi="Times New Roman"/>
          <w:sz w:val="22"/>
          <w:szCs w:val="22"/>
          <w:color w:val="auto"/>
        </w:rPr>
        <w:t>”) and to regulation by the Board of Governors of the Federal Reserve System of the United States (the “</w:t>
      </w:r>
      <w:r>
        <w:rPr>
          <w:rFonts w:ascii="Times New Roman" w:cs="Times New Roman" w:eastAsia="Times New Roman" w:hAnsi="Times New Roman"/>
          <w:sz w:val="22"/>
          <w:szCs w:val="22"/>
          <w:b w:val="1"/>
          <w:bCs w:val="1"/>
          <w:color w:val="auto"/>
        </w:rPr>
        <w:t>Federal Reserve</w:t>
      </w:r>
      <w:r>
        <w:rPr>
          <w:rFonts w:ascii="Times New Roman" w:cs="Times New Roman" w:eastAsia="Times New Roman" w:hAnsi="Times New Roman"/>
          <w:sz w:val="22"/>
          <w:szCs w:val="22"/>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1"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5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Notes, the use of proceeds thereof and the other transactions contemplated thereby or by the other Transaction Documents, will not violate or be inconsistent with the provisions.</w:t>
      </w:r>
    </w:p>
    <w:p>
      <w:pPr>
        <w:spacing w:after="0" w:line="143" w:lineRule="exact"/>
        <w:rPr>
          <w:rFonts w:ascii="Times New Roman" w:cs="Times New Roman" w:eastAsia="Times New Roman" w:hAnsi="Times New Roman"/>
          <w:sz w:val="22"/>
          <w:szCs w:val="22"/>
          <w:color w:val="auto"/>
        </w:rPr>
      </w:pPr>
    </w:p>
    <w:p>
      <w:pPr>
        <w:ind w:firstLine="655"/>
        <w:spacing w:after="0" w:line="271" w:lineRule="auto"/>
        <w:tabs>
          <w:tab w:leader="none" w:pos="106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Shell Company Status</w:t>
      </w:r>
      <w:r>
        <w:rPr>
          <w:rFonts w:ascii="Times New Roman" w:cs="Times New Roman" w:eastAsia="Times New Roman" w:hAnsi="Times New Roman"/>
          <w:sz w:val="22"/>
          <w:szCs w:val="22"/>
          <w:color w:val="auto"/>
        </w:rPr>
        <w:t>. The Company is not, and has never been, an issuer identified in, or subject to, section (i) of Rule 144.</w:t>
      </w:r>
    </w:p>
    <w:p>
      <w:pPr>
        <w:spacing w:after="0" w:line="157" w:lineRule="exact"/>
        <w:rPr>
          <w:rFonts w:ascii="Times New Roman" w:cs="Times New Roman" w:eastAsia="Times New Roman" w:hAnsi="Times New Roman"/>
          <w:sz w:val="22"/>
          <w:szCs w:val="22"/>
          <w:color w:val="auto"/>
        </w:rPr>
      </w:pPr>
    </w:p>
    <w:p>
      <w:pPr>
        <w:jc w:val="both"/>
        <w:ind w:firstLine="655"/>
        <w:spacing w:after="0" w:line="250" w:lineRule="auto"/>
        <w:tabs>
          <w:tab w:leader="none" w:pos="96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 or Unauthorized Payments; Political Contributions</w:t>
      </w:r>
      <w:r>
        <w:rPr>
          <w:rFonts w:ascii="Times New Roman" w:cs="Times New Roman" w:eastAsia="Times New Roman" w:hAnsi="Times New Roman"/>
          <w:sz w:val="22"/>
          <w:szCs w:val="22"/>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6" w:lineRule="exact"/>
        <w:rPr>
          <w:rFonts w:ascii="Times New Roman" w:cs="Times New Roman" w:eastAsia="Times New Roman" w:hAnsi="Times New Roman"/>
          <w:sz w:val="22"/>
          <w:szCs w:val="22"/>
          <w:color w:val="auto"/>
        </w:rPr>
      </w:pPr>
    </w:p>
    <w:p>
      <w:pPr>
        <w:jc w:val="both"/>
        <w:ind w:firstLine="655"/>
        <w:spacing w:after="0" w:line="251" w:lineRule="auto"/>
        <w:tabs>
          <w:tab w:leader="none" w:pos="122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ectPr>
          <w:pgSz w:w="11900" w:h="16838" w:orient="portrait"/>
          <w:cols w:equalWidth="0" w:num="1">
            <w:col w:w="10920"/>
          </w:cols>
          <w:pgMar w:left="320" w:top="1440" w:right="659" w:bottom="1440" w:gutter="0" w:footer="0" w:header="0"/>
        </w:sectPr>
      </w:pPr>
    </w:p>
    <w:bookmarkStart w:id="224" w:name="page225"/>
    <w:bookmarkEnd w:id="224"/>
    <w:p>
      <w:pPr>
        <w:spacing w:after="0" w:line="198" w:lineRule="exact"/>
        <w:rPr>
          <w:sz w:val="20"/>
          <w:szCs w:val="20"/>
          <w:color w:val="auto"/>
        </w:rPr>
      </w:pPr>
    </w:p>
    <w:p>
      <w:pPr>
        <w:jc w:val="both"/>
        <w:ind w:left="-655" w:firstLine="655"/>
        <w:spacing w:after="0" w:line="257" w:lineRule="auto"/>
        <w:tabs>
          <w:tab w:leader="none" w:pos="41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Management</w:t>
      </w:r>
      <w:r>
        <w:rPr>
          <w:rFonts w:ascii="Times New Roman" w:cs="Times New Roman" w:eastAsia="Times New Roman" w:hAnsi="Times New Roman"/>
          <w:sz w:val="22"/>
          <w:szCs w:val="22"/>
          <w:color w:val="auto"/>
        </w:rPr>
        <w:t>. During the past three year period, no current or former officer or director or, to the knowledge of the Company, no current ten percent (10%) or greater shareholder of the Company or any of its Subsidiaries has been the subject of:</w:t>
      </w:r>
    </w:p>
    <w:p>
      <w:pPr>
        <w:spacing w:after="0" w:line="186" w:lineRule="exact"/>
        <w:rPr>
          <w:rFonts w:ascii="Times New Roman" w:cs="Times New Roman" w:eastAsia="Times New Roman" w:hAnsi="Times New Roman"/>
          <w:sz w:val="22"/>
          <w:szCs w:val="22"/>
          <w:color w:val="auto"/>
        </w:rPr>
      </w:pPr>
    </w:p>
    <w:p>
      <w:pPr>
        <w:jc w:val="both"/>
        <w:ind w:left="5" w:firstLine="644"/>
        <w:spacing w:after="0" w:line="250" w:lineRule="auto"/>
        <w:tabs>
          <w:tab w:leader="none" w:pos="128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94" w:lineRule="exact"/>
        <w:rPr>
          <w:rFonts w:ascii="Times New Roman" w:cs="Times New Roman" w:eastAsia="Times New Roman" w:hAnsi="Times New Roman"/>
          <w:sz w:val="22"/>
          <w:szCs w:val="22"/>
          <w:color w:val="auto"/>
        </w:rPr>
      </w:pPr>
    </w:p>
    <w:p>
      <w:pPr>
        <w:ind w:left="5" w:right="20" w:firstLine="644"/>
        <w:spacing w:after="0" w:line="271" w:lineRule="auto"/>
        <w:tabs>
          <w:tab w:leader="none" w:pos="1295"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conviction in a criminal proceeding or a named subject of a pending criminal proceeding (excluding traffic violations that do not relate to driving while intoxicated or driving under the influence);</w:t>
      </w:r>
    </w:p>
    <w:p>
      <w:pPr>
        <w:spacing w:after="0" w:line="157" w:lineRule="exact"/>
        <w:rPr>
          <w:rFonts w:ascii="Times New Roman" w:cs="Times New Roman" w:eastAsia="Times New Roman" w:hAnsi="Times New Roman"/>
          <w:sz w:val="22"/>
          <w:szCs w:val="22"/>
          <w:color w:val="auto"/>
        </w:rPr>
      </w:pPr>
    </w:p>
    <w:p>
      <w:pPr>
        <w:jc w:val="both"/>
        <w:ind w:left="5" w:firstLine="644"/>
        <w:spacing w:after="0" w:line="257" w:lineRule="auto"/>
        <w:tabs>
          <w:tab w:leader="none" w:pos="130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86" w:lineRule="exact"/>
        <w:rPr>
          <w:rFonts w:ascii="Times New Roman" w:cs="Times New Roman" w:eastAsia="Times New Roman" w:hAnsi="Times New Roman"/>
          <w:sz w:val="22"/>
          <w:szCs w:val="22"/>
          <w:color w:val="auto"/>
        </w:rPr>
      </w:pPr>
    </w:p>
    <w:p>
      <w:pPr>
        <w:jc w:val="both"/>
        <w:ind w:left="645" w:firstLine="1300"/>
        <w:spacing w:after="0" w:line="248" w:lineRule="auto"/>
        <w:tabs>
          <w:tab w:leader="none" w:pos="2584"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200" w:lineRule="exact"/>
        <w:rPr>
          <w:rFonts w:ascii="Times New Roman" w:cs="Times New Roman" w:eastAsia="Times New Roman" w:hAnsi="Times New Roman"/>
          <w:sz w:val="22"/>
          <w:szCs w:val="22"/>
          <w:color w:val="auto"/>
        </w:rPr>
      </w:pPr>
    </w:p>
    <w:p>
      <w:pPr>
        <w:ind w:left="2585" w:hanging="639"/>
        <w:spacing w:after="0"/>
        <w:tabs>
          <w:tab w:leader="none" w:pos="2585"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particular type of business practice; or</w:t>
      </w:r>
    </w:p>
    <w:p>
      <w:pPr>
        <w:spacing w:after="0" w:line="219" w:lineRule="exact"/>
        <w:rPr>
          <w:rFonts w:ascii="Times New Roman" w:cs="Times New Roman" w:eastAsia="Times New Roman" w:hAnsi="Times New Roman"/>
          <w:sz w:val="22"/>
          <w:szCs w:val="22"/>
          <w:color w:val="auto"/>
        </w:rPr>
      </w:pPr>
    </w:p>
    <w:p>
      <w:pPr>
        <w:ind w:left="645" w:firstLine="1300"/>
        <w:spacing w:after="0" w:line="271" w:lineRule="auto"/>
        <w:tabs>
          <w:tab w:leader="none" w:pos="2584"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activity in connection with the purchase or sale of any security or commodity or in connection with any violation of securities laws or commodities laws;</w:t>
      </w:r>
    </w:p>
    <w:p>
      <w:pPr>
        <w:spacing w:after="0" w:line="157" w:lineRule="exact"/>
        <w:rPr>
          <w:rFonts w:ascii="Times New Roman" w:cs="Times New Roman" w:eastAsia="Times New Roman" w:hAnsi="Times New Roman"/>
          <w:sz w:val="22"/>
          <w:szCs w:val="22"/>
          <w:color w:val="auto"/>
        </w:rPr>
      </w:pPr>
    </w:p>
    <w:p>
      <w:pPr>
        <w:jc w:val="both"/>
        <w:ind w:left="5" w:firstLine="644"/>
        <w:spacing w:after="0" w:line="263" w:lineRule="auto"/>
        <w:tabs>
          <w:tab w:leader="none" w:pos="128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67" w:lineRule="exact"/>
        <w:rPr>
          <w:rFonts w:ascii="Times New Roman" w:cs="Times New Roman" w:eastAsia="Times New Roman" w:hAnsi="Times New Roman"/>
          <w:sz w:val="22"/>
          <w:szCs w:val="22"/>
          <w:color w:val="auto"/>
        </w:rPr>
      </w:pPr>
    </w:p>
    <w:p>
      <w:pPr>
        <w:jc w:val="both"/>
        <w:ind w:left="5" w:firstLine="644"/>
        <w:spacing w:after="0" w:line="257" w:lineRule="auto"/>
        <w:tabs>
          <w:tab w:leader="none" w:pos="129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2" w:lineRule="exact"/>
        <w:rPr>
          <w:rFonts w:ascii="Times New Roman" w:cs="Times New Roman" w:eastAsia="Times New Roman" w:hAnsi="Times New Roman"/>
          <w:sz w:val="22"/>
          <w:szCs w:val="22"/>
          <w:color w:val="auto"/>
        </w:rPr>
      </w:pPr>
    </w:p>
    <w:p>
      <w:pPr>
        <w:ind w:left="5" w:firstLine="644"/>
        <w:spacing w:after="0" w:line="284" w:lineRule="auto"/>
        <w:tabs>
          <w:tab w:leader="none" w:pos="128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finding by a court of competent jurisdiction in a civil action or by the Commodity Futures Trading Commission to have violated any federal</w:t>
      </w:r>
    </w:p>
    <w:p>
      <w:pPr>
        <w:sectPr>
          <w:pgSz w:w="11900" w:h="16838" w:orient="portrait"/>
          <w:cols w:equalWidth="0" w:num="1">
            <w:col w:w="10265"/>
          </w:cols>
          <w:pgMar w:left="975" w:top="1440" w:right="659" w:bottom="1440" w:gutter="0" w:footer="0" w:header="0"/>
        </w:sectPr>
      </w:pPr>
    </w:p>
    <w:bookmarkStart w:id="225" w:name="page226"/>
    <w:bookmarkEnd w:id="225"/>
    <w:p>
      <w:pPr>
        <w:spacing w:after="0" w:line="198" w:lineRule="exact"/>
        <w:rPr>
          <w:sz w:val="20"/>
          <w:szCs w:val="20"/>
          <w:color w:val="auto"/>
        </w:rPr>
      </w:pPr>
    </w:p>
    <w:p>
      <w:pPr>
        <w:ind w:left="5" w:right="20"/>
        <w:spacing w:after="0" w:line="271" w:lineRule="auto"/>
        <w:rPr>
          <w:sz w:val="20"/>
          <w:szCs w:val="20"/>
          <w:color w:val="auto"/>
        </w:rPr>
      </w:pPr>
      <w:r>
        <w:rPr>
          <w:rFonts w:ascii="Times New Roman" w:cs="Times New Roman" w:eastAsia="Times New Roman" w:hAnsi="Times New Roman"/>
          <w:sz w:val="22"/>
          <w:szCs w:val="22"/>
          <w:color w:val="auto"/>
        </w:rPr>
        <w:t>commodities law, and the judgment in such civil action or finding has not been subsequently reversed, suspended or vacated.</w:t>
      </w:r>
    </w:p>
    <w:p>
      <w:pPr>
        <w:spacing w:after="0" w:line="158" w:lineRule="exact"/>
        <w:rPr>
          <w:sz w:val="20"/>
          <w:szCs w:val="20"/>
          <w:color w:val="auto"/>
        </w:rPr>
      </w:pPr>
    </w:p>
    <w:p>
      <w:pPr>
        <w:jc w:val="both"/>
        <w:ind w:left="-655" w:firstLine="655"/>
        <w:spacing w:after="0" w:line="251" w:lineRule="auto"/>
        <w:tabs>
          <w:tab w:leader="none" w:pos="40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Option Plans</w:t>
      </w:r>
      <w:r>
        <w:rPr>
          <w:rFonts w:ascii="Times New Roman" w:cs="Times New Roman" w:eastAsia="Times New Roman" w:hAnsi="Times New Roman"/>
          <w:sz w:val="22"/>
          <w:szCs w:val="22"/>
          <w:color w:val="auto"/>
        </w:rPr>
        <w:t>. Each share option granted by the Company was granted in accordance with the terms of the applicable share option plan of the Company. No share option granted under the Company’s share option plan has been backdated. The Company has not knowingly granted, and there is no and has been no policy or practice of the Company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289" w:lineRule="exact"/>
        <w:rPr>
          <w:rFonts w:ascii="Times New Roman" w:cs="Times New Roman" w:eastAsia="Times New Roman" w:hAnsi="Times New Roman"/>
          <w:sz w:val="22"/>
          <w:szCs w:val="22"/>
          <w:color w:val="auto"/>
        </w:rPr>
      </w:pPr>
    </w:p>
    <w:p>
      <w:pPr>
        <w:jc w:val="both"/>
        <w:ind w:left="-655" w:firstLine="655"/>
        <w:spacing w:after="0" w:line="250" w:lineRule="auto"/>
        <w:tabs>
          <w:tab w:leader="none" w:pos="41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Disagreements with Accountants and Lawyers</w:t>
      </w:r>
      <w:r>
        <w:rPr>
          <w:rFonts w:ascii="Times New Roman" w:cs="Times New Roman" w:eastAsia="Times New Roman" w:hAnsi="Times New Roman"/>
          <w:sz w:val="22"/>
          <w:szCs w:val="22"/>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0" w:lineRule="exact"/>
        <w:rPr>
          <w:rFonts w:ascii="Times New Roman" w:cs="Times New Roman" w:eastAsia="Times New Roman" w:hAnsi="Times New Roman"/>
          <w:sz w:val="22"/>
          <w:szCs w:val="22"/>
          <w:color w:val="auto"/>
        </w:rPr>
      </w:pPr>
    </w:p>
    <w:p>
      <w:pPr>
        <w:jc w:val="both"/>
        <w:ind w:left="-655" w:firstLine="655"/>
        <w:spacing w:after="0" w:line="295" w:lineRule="auto"/>
        <w:tabs>
          <w:tab w:leader="none" w:pos="41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Additional Agreements</w:t>
      </w:r>
      <w:r>
        <w:rPr>
          <w:rFonts w:ascii="Times New Roman" w:cs="Times New Roman" w:eastAsia="Times New Roman" w:hAnsi="Times New Roman"/>
          <w:sz w:val="21"/>
          <w:szCs w:val="21"/>
          <w:color w:val="auto"/>
        </w:rPr>
        <w:t>. The Company does not have any agreement or understanding with any Buyer with respect to the transactions contemplated by the Transaction Documents other than as specified in the Transaction Documents.</w:t>
      </w:r>
    </w:p>
    <w:p>
      <w:pPr>
        <w:spacing w:after="0" w:line="148" w:lineRule="exact"/>
        <w:rPr>
          <w:rFonts w:ascii="Times New Roman" w:cs="Times New Roman" w:eastAsia="Times New Roman" w:hAnsi="Times New Roman"/>
          <w:sz w:val="21"/>
          <w:szCs w:val="21"/>
          <w:color w:val="auto"/>
        </w:rPr>
      </w:pPr>
    </w:p>
    <w:p>
      <w:pPr>
        <w:ind w:left="-655" w:right="20" w:firstLine="655"/>
        <w:spacing w:after="0" w:line="271" w:lineRule="auto"/>
        <w:tabs>
          <w:tab w:leader="none" w:pos="36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Utility Holding Act</w:t>
      </w:r>
      <w:r>
        <w:rPr>
          <w:rFonts w:ascii="Times New Roman" w:cs="Times New Roman" w:eastAsia="Times New Roman" w:hAnsi="Times New Roman"/>
          <w:sz w:val="22"/>
          <w:szCs w:val="22"/>
          <w:color w:val="auto"/>
        </w:rPr>
        <w:t>. None of the Company nor any of its Subsidiaries is a “holding company,” or an “affiliate” of a “holding company,” as such terms are defined in the Public Utility Holding Act of 2005.</w:t>
      </w:r>
    </w:p>
    <w:p>
      <w:pPr>
        <w:spacing w:after="0" w:line="157" w:lineRule="exact"/>
        <w:rPr>
          <w:rFonts w:ascii="Times New Roman" w:cs="Times New Roman" w:eastAsia="Times New Roman" w:hAnsi="Times New Roman"/>
          <w:sz w:val="22"/>
          <w:szCs w:val="22"/>
          <w:color w:val="auto"/>
        </w:rPr>
      </w:pPr>
    </w:p>
    <w:p>
      <w:pPr>
        <w:ind w:left="-655" w:firstLine="655"/>
        <w:spacing w:after="0" w:line="271" w:lineRule="auto"/>
        <w:tabs>
          <w:tab w:leader="none" w:pos="5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Power Act</w:t>
      </w:r>
      <w:r>
        <w:rPr>
          <w:rFonts w:ascii="Times New Roman" w:cs="Times New Roman" w:eastAsia="Times New Roman" w:hAnsi="Times New Roman"/>
          <w:sz w:val="22"/>
          <w:szCs w:val="22"/>
          <w:color w:val="auto"/>
        </w:rPr>
        <w:t>. None of the Company nor any of its Subsidiaries is subject to regulation as a “public utility” under the Federal Power Act, as amended.</w:t>
      </w:r>
    </w:p>
    <w:p>
      <w:pPr>
        <w:spacing w:after="0" w:line="153" w:lineRule="exact"/>
        <w:rPr>
          <w:rFonts w:ascii="Times New Roman" w:cs="Times New Roman" w:eastAsia="Times New Roman" w:hAnsi="Times New Roman"/>
          <w:sz w:val="22"/>
          <w:szCs w:val="22"/>
          <w:color w:val="auto"/>
        </w:rPr>
      </w:pPr>
    </w:p>
    <w:p>
      <w:pPr>
        <w:jc w:val="both"/>
        <w:ind w:left="-655" w:right="20" w:firstLine="655"/>
        <w:spacing w:after="0" w:line="265" w:lineRule="auto"/>
        <w:tabs>
          <w:tab w:leader="none" w:pos="32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Ranking of Notes</w:t>
      </w:r>
      <w:r>
        <w:rPr>
          <w:rFonts w:ascii="Times New Roman" w:cs="Times New Roman" w:eastAsia="Times New Roman" w:hAnsi="Times New Roman"/>
          <w:sz w:val="22"/>
          <w:szCs w:val="22"/>
          <w:color w:val="auto"/>
        </w:rPr>
        <w:t xml:space="preserve">. The Notes will at all times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existing and future unsubordinated and unsecured obligations of the Company in right of payment, whether with respect to payment or redemptions, interest, damages, upon liquidation or dissolution or otherwise, including under the deSPAC CBs (as defined in the Notes).</w:t>
      </w:r>
    </w:p>
    <w:p>
      <w:pPr>
        <w:spacing w:after="0" w:line="165" w:lineRule="exact"/>
        <w:rPr>
          <w:rFonts w:ascii="Times New Roman" w:cs="Times New Roman" w:eastAsia="Times New Roman" w:hAnsi="Times New Roman"/>
          <w:sz w:val="22"/>
          <w:szCs w:val="22"/>
          <w:color w:val="auto"/>
        </w:rPr>
      </w:pPr>
    </w:p>
    <w:p>
      <w:pPr>
        <w:jc w:val="both"/>
        <w:ind w:left="-655" w:firstLine="655"/>
        <w:spacing w:after="0" w:line="257" w:lineRule="auto"/>
        <w:tabs>
          <w:tab w:leader="none" w:pos="43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Communist Chinese Military Companies</w:t>
      </w:r>
      <w:r>
        <w:rPr>
          <w:rFonts w:ascii="Times New Roman" w:cs="Times New Roman" w:eastAsia="Times New Roman" w:hAnsi="Times New Roman"/>
          <w:sz w:val="22"/>
          <w:szCs w:val="22"/>
          <w:color w:val="auto"/>
        </w:rPr>
        <w:t>. The Company does not constitute a “Communist Chinese Military Company” under Executive Order 13959, issued by former President Trump on November 12, 2020 under the authority of Section 1237 of the National Defense Authorization Act for Fiscal Year 1999.</w:t>
      </w:r>
    </w:p>
    <w:p>
      <w:pPr>
        <w:spacing w:after="0" w:line="186" w:lineRule="exact"/>
        <w:rPr>
          <w:sz w:val="20"/>
          <w:szCs w:val="20"/>
          <w:color w:val="auto"/>
        </w:rPr>
      </w:pPr>
    </w:p>
    <w:p>
      <w:pPr>
        <w:jc w:val="both"/>
        <w:ind w:left="-655" w:firstLine="655"/>
        <w:spacing w:after="0" w:line="252" w:lineRule="auto"/>
        <w:tabs>
          <w:tab w:leader="none" w:pos="50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PRC Overseas Investment and Listing Regulations</w:t>
      </w:r>
      <w:r>
        <w:rPr>
          <w:rFonts w:ascii="Times New Roman" w:cs="Times New Roman" w:eastAsia="Times New Roman" w:hAnsi="Times New Roman"/>
          <w:sz w:val="22"/>
          <w:szCs w:val="22"/>
          <w:color w:val="auto"/>
        </w:rPr>
        <w:t>. Each of the Company and its Subsidiaries and Affiliated Entities has complied, and has taken all reasonable steps to ensure compliance by each of its shareholders, directors and officers that is, or is directly or indirectly owned or controlled by, a PRC resident or citizen with any applicable rules and regulations of the relevant PRC government</w:t>
      </w:r>
    </w:p>
    <w:p>
      <w:pPr>
        <w:sectPr>
          <w:pgSz w:w="11900" w:h="16838" w:orient="portrait"/>
          <w:cols w:equalWidth="0" w:num="1">
            <w:col w:w="10265"/>
          </w:cols>
          <w:pgMar w:left="975" w:top="1440" w:right="659" w:bottom="1440" w:gutter="0" w:footer="0" w:header="0"/>
        </w:sectPr>
      </w:pPr>
    </w:p>
    <w:bookmarkStart w:id="226" w:name="page227"/>
    <w:bookmarkEnd w:id="226"/>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agencies (including but not limited to the Ministry of Commerce, the National Development and Reform Commission, the CSRC and the State Administration of Foreign Exchange (the “</w:t>
      </w:r>
      <w:r>
        <w:rPr>
          <w:rFonts w:ascii="Times New Roman" w:cs="Times New Roman" w:eastAsia="Times New Roman" w:hAnsi="Times New Roman"/>
          <w:sz w:val="22"/>
          <w:szCs w:val="22"/>
          <w:b w:val="1"/>
          <w:bCs w:val="1"/>
          <w:color w:val="auto"/>
        </w:rPr>
        <w:t>SAFE</w:t>
      </w:r>
      <w:r>
        <w:rPr>
          <w:rFonts w:ascii="Times New Roman" w:cs="Times New Roman" w:eastAsia="Times New Roman" w:hAnsi="Times New Roman"/>
          <w:sz w:val="22"/>
          <w:szCs w:val="22"/>
          <w:color w:val="auto"/>
        </w:rPr>
        <w:t>”)) relating to overseas investment by PRC residents and citizens (the “</w:t>
      </w:r>
      <w:r>
        <w:rPr>
          <w:rFonts w:ascii="Times New Roman" w:cs="Times New Roman" w:eastAsia="Times New Roman" w:hAnsi="Times New Roman"/>
          <w:sz w:val="22"/>
          <w:szCs w:val="22"/>
          <w:b w:val="1"/>
          <w:bCs w:val="1"/>
          <w:color w:val="auto"/>
        </w:rPr>
        <w:t>PRC Overseas Investment and Listing Regulations</w:t>
      </w:r>
      <w:r>
        <w:rPr>
          <w:rFonts w:ascii="Times New Roman" w:cs="Times New Roman" w:eastAsia="Times New Roman" w:hAnsi="Times New Roman"/>
          <w:sz w:val="22"/>
          <w:szCs w:val="22"/>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81" w:lineRule="exact"/>
        <w:rPr>
          <w:sz w:val="20"/>
          <w:szCs w:val="20"/>
          <w:color w:val="auto"/>
        </w:rPr>
      </w:pPr>
    </w:p>
    <w:p>
      <w:pPr>
        <w:jc w:val="both"/>
        <w:ind w:firstLine="655"/>
        <w:spacing w:after="0" w:line="248" w:lineRule="auto"/>
        <w:tabs>
          <w:tab w:leader="none" w:pos="108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M&amp;A Rules</w:t>
      </w:r>
      <w:r>
        <w:rPr>
          <w:rFonts w:ascii="Times New Roman" w:cs="Times New Roman" w:eastAsia="Times New Roman" w:hAnsi="Times New Roman"/>
          <w:sz w:val="22"/>
          <w:szCs w:val="22"/>
          <w:color w:val="auto"/>
        </w:rPr>
        <w:t>.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 w:cs="Times New Roman" w:eastAsia="Times New Roman" w:hAnsi="Times New Roman"/>
          <w:sz w:val="22"/>
          <w:szCs w:val="22"/>
          <w:b w:val="1"/>
          <w:bCs w:val="1"/>
          <w:color w:val="auto"/>
        </w:rPr>
        <w:t>PRC Mergers and Acquisitions Rules</w:t>
      </w:r>
      <w:r>
        <w:rPr>
          <w:rFonts w:ascii="Times New Roman" w:cs="Times New Roman" w:eastAsia="Times New Roman" w:hAnsi="Times New Roman"/>
          <w:sz w:val="22"/>
          <w:szCs w:val="22"/>
          <w:color w:val="auto"/>
        </w:rPr>
        <w:t>”) jointly promulgated by the Ministry of Commerce, the State Assets Supervision and Administration Commission, 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Securities, the listing and trading of the Underlying Securities (as defined below) on the Principal Market and the consummation of the transactions contemplated by this Agreement (i) are not and will not be, as of the date hereof or at such Closing Date, adversely affected by the PRC Mergers and Acquisitions Rules and (ii) do not require the prior approval of the CSRC.</w:t>
      </w:r>
    </w:p>
    <w:p>
      <w:pPr>
        <w:spacing w:after="0" w:line="183" w:lineRule="exact"/>
        <w:rPr>
          <w:sz w:val="20"/>
          <w:szCs w:val="20"/>
          <w:color w:val="auto"/>
        </w:rPr>
      </w:pPr>
    </w:p>
    <w:p>
      <w:pPr>
        <w:jc w:val="both"/>
        <w:ind w:firstLine="655"/>
        <w:spacing w:after="0" w:line="260" w:lineRule="auto"/>
        <w:tabs>
          <w:tab w:leader="none" w:pos="108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21"/>
          <w:szCs w:val="21"/>
          <w:b w:val="1"/>
          <w:bCs w:val="1"/>
          <w:color w:val="auto"/>
        </w:rPr>
        <w:t>GDPR</w:t>
      </w:r>
      <w:r>
        <w:rPr>
          <w:rFonts w:ascii="Times New Roman" w:cs="Times New Roman" w:eastAsia="Times New Roman" w:hAnsi="Times New Roman"/>
          <w:sz w:val="21"/>
          <w:szCs w:val="21"/>
          <w:color w:val="auto"/>
        </w:rPr>
        <w:t>”) (EU 2016/679); (iv)</w:t>
      </w:r>
    </w:p>
    <w:p>
      <w:pPr>
        <w:sectPr>
          <w:pgSz w:w="11900" w:h="16838" w:orient="portrait"/>
          <w:cols w:equalWidth="0" w:num="1">
            <w:col w:w="10920"/>
          </w:cols>
          <w:pgMar w:left="320" w:top="1440" w:right="659" w:bottom="1440" w:gutter="0" w:footer="0" w:header="0"/>
        </w:sectPr>
      </w:pPr>
    </w:p>
    <w:bookmarkStart w:id="227" w:name="page228"/>
    <w:bookmarkEnd w:id="227"/>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206" w:lineRule="exact"/>
        <w:rPr>
          <w:sz w:val="20"/>
          <w:szCs w:val="20"/>
          <w:color w:val="auto"/>
        </w:rPr>
      </w:pPr>
    </w:p>
    <w:p>
      <w:pPr>
        <w:jc w:val="both"/>
        <w:ind w:firstLine="655"/>
        <w:spacing w:after="0" w:line="259" w:lineRule="auto"/>
        <w:tabs>
          <w:tab w:leader="none" w:pos="118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Data Privacy Laws</w:t>
      </w:r>
      <w:r>
        <w:rPr>
          <w:rFonts w:ascii="Times New Roman" w:cs="Times New Roman" w:eastAsia="Times New Roman" w:hAnsi="Times New Roman"/>
          <w:sz w:val="21"/>
          <w:szCs w:val="21"/>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(collectively, the “</w:t>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21"/>
          <w:szCs w:val="21"/>
          <w:b w:val="1"/>
          <w:bCs w:val="1"/>
          <w:color w:val="auto"/>
        </w:rPr>
        <w:t>Policies</w:t>
      </w:r>
      <w:r>
        <w:rPr>
          <w:rFonts w:ascii="Times New Roman" w:cs="Times New Roman" w:eastAsia="Times New Roman" w:hAnsi="Times New Roman"/>
          <w:sz w:val="21"/>
          <w:szCs w:val="21"/>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0" w:lineRule="exact"/>
        <w:rPr>
          <w:rFonts w:ascii="Times New Roman" w:cs="Times New Roman" w:eastAsia="Times New Roman" w:hAnsi="Times New Roman"/>
          <w:sz w:val="21"/>
          <w:szCs w:val="21"/>
          <w:color w:val="auto"/>
        </w:rPr>
      </w:pPr>
    </w:p>
    <w:p>
      <w:pPr>
        <w:jc w:val="both"/>
        <w:ind w:firstLine="655"/>
        <w:spacing w:after="0" w:line="250" w:lineRule="auto"/>
        <w:tabs>
          <w:tab w:leader="none" w:pos="108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Defenses</w:t>
      </w:r>
      <w:r>
        <w:rPr>
          <w:rFonts w:ascii="Times New Roman" w:cs="Times New Roman" w:eastAsia="Times New Roman" w:hAnsi="Times New Roman"/>
          <w:sz w:val="22"/>
          <w:szCs w:val="22"/>
          <w:color w:val="auto"/>
        </w:rPr>
        <w:t>. The Company has no defenses, affirmative or otherwise, rights of setoff, rights of recoupment, claims, counterclaims, actions or causes of action of any kind or nature whatsoever against a Buyer, directly or indirectly, arising out of, based upon, or in any manner connected with, the transactions contemplated hereby, whether known or unknown, which occurred, existed, was taken, permitted, or begun prior to the execution of this Agreement and occurred, existed, was taken, permitted or begun in</w:t>
      </w:r>
    </w:p>
    <w:p>
      <w:pPr>
        <w:sectPr>
          <w:pgSz w:w="11900" w:h="16838" w:orient="portrait"/>
          <w:cols w:equalWidth="0" w:num="1">
            <w:col w:w="10920"/>
          </w:cols>
          <w:pgMar w:left="320" w:top="1440" w:right="659" w:bottom="1440" w:gutter="0" w:footer="0" w:header="0"/>
        </w:sectPr>
      </w:pPr>
    </w:p>
    <w:bookmarkStart w:id="228" w:name="page229"/>
    <w:bookmarkEnd w:id="228"/>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The Company hereby acknowledges and agrees that the execution of this Agreement by a Buyer shall not constitute an acknowledgment of or admission by a Buyer of the existence of any claims or of liability for any matter or precedent upon which any claim or liability may be asserted.</w:t>
      </w:r>
    </w:p>
    <w:p>
      <w:pPr>
        <w:spacing w:after="0" w:line="181" w:lineRule="exact"/>
        <w:rPr>
          <w:sz w:val="20"/>
          <w:szCs w:val="20"/>
          <w:color w:val="auto"/>
        </w:rPr>
      </w:pPr>
    </w:p>
    <w:p>
      <w:pPr>
        <w:jc w:val="both"/>
        <w:ind w:firstLine="655"/>
        <w:spacing w:after="0" w:line="253" w:lineRule="auto"/>
        <w:tabs>
          <w:tab w:leader="none" w:pos="106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No holder of securities of the Company has rights to the registration of any securities of the Company because of the filing of the Registration Statement or the issuance of the Securities hereunder that could expose the Company to material liability or any Buyer to any liability or that could impair the Company’s ability to consummate the issuance and sale of the Securities in the manner, and at the times, contemplated hereby, which rights have not been waived by the holder thereof as of the date hereof.</w:t>
      </w:r>
    </w:p>
    <w:p>
      <w:pPr>
        <w:spacing w:after="0" w:line="286" w:lineRule="exact"/>
        <w:rPr>
          <w:rFonts w:ascii="Times New Roman" w:cs="Times New Roman" w:eastAsia="Times New Roman" w:hAnsi="Times New Roman"/>
          <w:sz w:val="22"/>
          <w:szCs w:val="22"/>
          <w:color w:val="auto"/>
        </w:rPr>
      </w:pPr>
    </w:p>
    <w:p>
      <w:pPr>
        <w:ind w:firstLine="655"/>
        <w:spacing w:after="0" w:line="295" w:lineRule="auto"/>
        <w:tabs>
          <w:tab w:leader="none" w:pos="103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The Company hereby represents and warrants that no direct or indirect Subsidiary of the Company, that is not a Significant Subsidiary (as defined in the Notes) of the Company, has any material assets or liabilities.</w:t>
      </w:r>
    </w:p>
    <w:p>
      <w:pPr>
        <w:spacing w:after="0" w:line="135" w:lineRule="exact"/>
        <w:rPr>
          <w:sz w:val="20"/>
          <w:szCs w:val="20"/>
          <w:color w:val="auto"/>
        </w:rPr>
      </w:pPr>
    </w:p>
    <w:p>
      <w:pPr>
        <w:jc w:val="both"/>
        <w:ind w:firstLine="655"/>
        <w:spacing w:after="0" w:line="252" w:lineRule="auto"/>
        <w:tabs>
          <w:tab w:leader="none" w:pos="113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Qualification Under Trust Indenture Act</w:t>
      </w:r>
      <w:r>
        <w:rPr>
          <w:rFonts w:ascii="Times New Roman" w:cs="Times New Roman" w:eastAsia="Times New Roman" w:hAnsi="Times New Roman"/>
          <w:sz w:val="22"/>
          <w:szCs w:val="22"/>
          <w:color w:val="auto"/>
        </w:rPr>
        <w:t>. Prior to any issuance of Notes hereunder, the Company shall qualify or cause or arrange for the Trustee to qualify the Indenture under the Trust Indenture Act of 1939, as amended (the “</w:t>
      </w:r>
      <w:r>
        <w:rPr>
          <w:rFonts w:ascii="Times New Roman" w:cs="Times New Roman" w:eastAsia="Times New Roman" w:hAnsi="Times New Roman"/>
          <w:sz w:val="22"/>
          <w:szCs w:val="22"/>
          <w:b w:val="1"/>
          <w:bCs w:val="1"/>
          <w:color w:val="auto"/>
        </w:rPr>
        <w:t>TIA</w:t>
      </w:r>
      <w:r>
        <w:rPr>
          <w:rFonts w:ascii="Times New Roman" w:cs="Times New Roman" w:eastAsia="Times New Roman" w:hAnsi="Times New Roman"/>
          <w:sz w:val="22"/>
          <w:szCs w:val="22"/>
          <w:color w:val="auto"/>
        </w:rPr>
        <w:t>”) and enter into any necessary supplemental indentures in connection therewith and, so long as the Notes remain outstanding, the Indenture shall be maintained in compliance with the TIA.</w:t>
      </w:r>
    </w:p>
    <w:p>
      <w:pPr>
        <w:spacing w:after="0" w:line="192" w:lineRule="exact"/>
        <w:rPr>
          <w:rFonts w:ascii="Times New Roman" w:cs="Times New Roman" w:eastAsia="Times New Roman" w:hAnsi="Times New Roman"/>
          <w:sz w:val="22"/>
          <w:szCs w:val="22"/>
          <w:color w:val="auto"/>
        </w:rPr>
      </w:pPr>
    </w:p>
    <w:p>
      <w:pPr>
        <w:jc w:val="both"/>
        <w:ind w:firstLine="655"/>
        <w:spacing w:after="0" w:line="259" w:lineRule="auto"/>
        <w:tabs>
          <w:tab w:leader="none" w:pos="1169"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w:t>
      </w:r>
    </w:p>
    <w:p>
      <w:pPr>
        <w:sectPr>
          <w:pgSz w:w="11900" w:h="16838" w:orient="portrait"/>
          <w:cols w:equalWidth="0" w:num="1">
            <w:col w:w="10920"/>
          </w:cols>
          <w:pgMar w:left="320" w:top="1440" w:right="659" w:bottom="1440" w:gutter="0" w:footer="0" w:header="0"/>
        </w:sectPr>
      </w:pPr>
    </w:p>
    <w:bookmarkStart w:id="229" w:name="page230"/>
    <w:bookmarkEnd w:id="229"/>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each Buyer have been prepared in good faith based upon reasonable assumptions and represented, at the time each such financial projection or forecast was delivered to such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97"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23" w:lineRule="exact"/>
        <w:rPr>
          <w:rFonts w:ascii="Times New Roman" w:cs="Times New Roman" w:eastAsia="Times New Roman" w:hAnsi="Times New Roman"/>
          <w:sz w:val="22"/>
          <w:szCs w:val="22"/>
          <w:b w:val="1"/>
          <w:bCs w:val="1"/>
          <w:color w:val="auto"/>
        </w:rPr>
      </w:pPr>
    </w:p>
    <w:p>
      <w:pPr>
        <w:jc w:val="both"/>
        <w:ind w:firstLine="655"/>
        <w:spacing w:after="0" w:line="257" w:lineRule="auto"/>
        <w:tabs>
          <w:tab w:leader="none" w:pos="1292"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w:t>
      </w:r>
      <w:r>
        <w:rPr>
          <w:rFonts w:ascii="Times New Roman" w:cs="Times New Roman" w:eastAsia="Times New Roman" w:hAnsi="Times New Roman"/>
          <w:sz w:val="22"/>
          <w:szCs w:val="22"/>
          <w:color w:val="auto"/>
        </w:rPr>
        <w:t xml:space="preserve">. Each Buyer shall use its best efforts to timely satisfy each of the covenants hereunder and conditions to be satisfied by it as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The Company shall use its best efforts to timely satisfy each of the covenants hereunder and conditions to be satisfied by it as provided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w:t>
      </w:r>
    </w:p>
    <w:p>
      <w:pPr>
        <w:spacing w:after="0" w:line="172" w:lineRule="exact"/>
        <w:rPr>
          <w:rFonts w:ascii="Times New Roman" w:cs="Times New Roman" w:eastAsia="Times New Roman" w:hAnsi="Times New Roman"/>
          <w:sz w:val="22"/>
          <w:szCs w:val="22"/>
          <w:color w:val="auto"/>
        </w:rPr>
      </w:pPr>
    </w:p>
    <w:p>
      <w:pPr>
        <w:ind w:left="1300" w:hanging="645"/>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Registration Statement; Prospectus Supplements; Free Writing Prospectuses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44"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Registration Statement; Prospectus Supplements; Free Writing Prospectuses</w:t>
      </w:r>
      <w:r>
        <w:rPr>
          <w:rFonts w:ascii="Times New Roman" w:cs="Times New Roman" w:eastAsia="Times New Roman" w:hAnsi="Times New Roman"/>
          <w:sz w:val="22"/>
          <w:szCs w:val="22"/>
          <w:color w:val="auto"/>
        </w:rPr>
        <w:t>. Except as provided in this Agreement and other than periodic reports required to be filed pursuant to the 1934 Act, the Company shall not file with the SEC any amendment to the Registration Statement that relates to the Buyer, this Agreement or any other Transaction Document or the transactions contemplated hereby or thereby or file with the SEC any Prospectus Supplement that relates to the Buyer, this Agreement or any other Transaction Document or the transactions contemplated hereby or thereby with respect to which (a) the Buyer shall not previously have been advised, (b) the Company shall not have given due consideration to any comments thereon received from the Buyer or its counsel, or (c) the Buyer shall reasonably object after being so advised, unless the Company reasonably has determined that it is necessary to amend the Registration Statement or make any supplement to the Prospectus to comply with the 1933 Act or any other applicable law or regulation, in which case the Company shall promptly (but in no event later than 24 hours) so inform the Buyer, the Buyer shall be provided with a reasonable opportunity to review and comment upon any disclosure relating to the Buyer and the Company shall expeditiously furnish to the Buyer an electronic copy thereof. In addition, for</w:t>
      </w:r>
    </w:p>
    <w:p>
      <w:pPr>
        <w:sectPr>
          <w:pgSz w:w="11900" w:h="16838" w:orient="portrait"/>
          <w:cols w:equalWidth="0" w:num="1">
            <w:col w:w="10920"/>
          </w:cols>
          <w:pgMar w:left="320" w:top="1440" w:right="659" w:bottom="1440" w:gutter="0" w:footer="0" w:header="0"/>
        </w:sectPr>
      </w:pPr>
    </w:p>
    <w:bookmarkStart w:id="230" w:name="page231"/>
    <w:bookmarkEnd w:id="230"/>
    <w:p>
      <w:pPr>
        <w:spacing w:after="0" w:line="198" w:lineRule="exact"/>
        <w:rPr>
          <w:sz w:val="20"/>
          <w:szCs w:val="20"/>
          <w:color w:val="auto"/>
        </w:rPr>
      </w:pPr>
    </w:p>
    <w:p>
      <w:pPr>
        <w:jc w:val="both"/>
        <w:ind w:left="5"/>
        <w:spacing w:after="0" w:line="272" w:lineRule="auto"/>
        <w:rPr>
          <w:sz w:val="20"/>
          <w:szCs w:val="20"/>
          <w:color w:val="auto"/>
        </w:rPr>
      </w:pPr>
      <w:r>
        <w:rPr>
          <w:rFonts w:ascii="Times New Roman" w:cs="Times New Roman" w:eastAsia="Times New Roman" w:hAnsi="Times New Roman"/>
          <w:sz w:val="21"/>
          <w:szCs w:val="21"/>
          <w:color w:val="auto"/>
        </w:rPr>
        <w:t>so long as, in the reasonable opinion of counsel for the Buyer, the Prospectus (or in lieu thereof, the notice referred to in Rule 173(a) under the 1933 Act) is required to be delivered in connection with any acquisition or sale of Securities by the Buyer, the Company shall not file any Prospectus Supplement with respect to the Securities without delivering or making available a copy of such Prospectus Supplement, together with the Prospectus, to the Buyer promptly.</w:t>
      </w:r>
    </w:p>
    <w:p>
      <w:pPr>
        <w:spacing w:after="0" w:line="161" w:lineRule="exact"/>
        <w:rPr>
          <w:sz w:val="20"/>
          <w:szCs w:val="20"/>
          <w:color w:val="auto"/>
        </w:rPr>
      </w:pPr>
    </w:p>
    <w:p>
      <w:pPr>
        <w:jc w:val="both"/>
        <w:ind w:left="5" w:firstLine="644"/>
        <w:spacing w:after="0" w:line="247" w:lineRule="auto"/>
        <w:tabs>
          <w:tab w:leader="none" w:pos="1295"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made, and agrees that unless it obtains the prior written consent of the Buyer it will not make, an offer relating to the Securities that would constitute an “issuer free writing prospectus” as defined in Rule 433 promulgated under the 1933 Act (an “</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or that would otherwise constitute a “free writing prospectus” as defined in Rule 405 promulgated under the 1933 Act (a “</w:t>
      </w:r>
      <w:r>
        <w:rPr>
          <w:rFonts w:ascii="Times New Roman" w:cs="Times New Roman" w:eastAsia="Times New Roman" w:hAnsi="Times New Roman"/>
          <w:sz w:val="22"/>
          <w:szCs w:val="22"/>
          <w:b w:val="1"/>
          <w:bCs w:val="1"/>
          <w:color w:val="auto"/>
        </w:rPr>
        <w:t>Free Writing Prospectus</w:t>
      </w:r>
      <w:r>
        <w:rPr>
          <w:rFonts w:ascii="Times New Roman" w:cs="Times New Roman" w:eastAsia="Times New Roman" w:hAnsi="Times New Roman"/>
          <w:sz w:val="22"/>
          <w:szCs w:val="22"/>
          <w:color w:val="auto"/>
        </w:rPr>
        <w:t>”) required to be filed by the Company or the Buyer with the SEC or retained by the Company or the Buyer under Rule 433 under the 1933 Act. The Buyer has not made, and agrees that unless it obtains the prior written consent of the Company it will not make, an offer relating to the Securities that would constitute a Free Writing Prospectus required to be filed by the Company with the SEC or retained by the Company under Rule 433 under the 1933 Act. Any such Issuer Free Writing Prospectus or other Free Writing Prospectus consented to by the Buyer or the Company is referred to in this Agreement as a “</w:t>
      </w:r>
      <w:r>
        <w:rPr>
          <w:rFonts w:ascii="Times New Roman" w:cs="Times New Roman" w:eastAsia="Times New Roman" w:hAnsi="Times New Roman"/>
          <w:sz w:val="22"/>
          <w:szCs w:val="22"/>
          <w:b w:val="1"/>
          <w:bCs w:val="1"/>
          <w:color w:val="auto"/>
        </w:rPr>
        <w:t>Permitted Free Writing Prospectus</w:t>
      </w:r>
      <w:r>
        <w:rPr>
          <w:rFonts w:ascii="Times New Roman" w:cs="Times New Roman" w:eastAsia="Times New Roman" w:hAnsi="Times New Roman"/>
          <w:sz w:val="22"/>
          <w:szCs w:val="22"/>
          <w:color w:val="auto"/>
        </w:rPr>
        <w:t>.” The Company agrees that (x) it has treated and will treat, as the case may be, each Permitted Free Writing Prospectus as an Issuer Free Writing Prospectus and (y) it has complied and will comply, as the case may be, with the requirements of Rules 164 and 433 under the 1933 Act applicable to any Permitted Free Writing Prospectus, including in respect of timely filing with the SEC, legending and record keeping.</w:t>
      </w:r>
    </w:p>
    <w:p>
      <w:pPr>
        <w:spacing w:after="0" w:line="202" w:lineRule="exact"/>
        <w:rPr>
          <w:rFonts w:ascii="Times New Roman" w:cs="Times New Roman" w:eastAsia="Times New Roman" w:hAnsi="Times New Roman"/>
          <w:sz w:val="22"/>
          <w:szCs w:val="22"/>
          <w:color w:val="auto"/>
        </w:rPr>
      </w:pPr>
    </w:p>
    <w:p>
      <w:pPr>
        <w:jc w:val="both"/>
        <w:ind w:left="-655" w:firstLine="655"/>
        <w:spacing w:after="0" w:line="259" w:lineRule="auto"/>
        <w:tabs>
          <w:tab w:leader="none" w:pos="637"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Prospectus Delivery</w:t>
      </w:r>
      <w:r>
        <w:rPr>
          <w:rFonts w:ascii="Times New Roman" w:cs="Times New Roman" w:eastAsia="Times New Roman" w:hAnsi="Times New Roman"/>
          <w:sz w:val="21"/>
          <w:szCs w:val="21"/>
          <w:color w:val="auto"/>
        </w:rPr>
        <w:t xml:space="preserve">. Immediately prior to execution of this Agreement, the Company shall have delivered to the Buyer, and as soon as practicable after execution of this Agreement the Company shall file, Prospectus Supplements with respect to the Securities to be issued on the applicable Closing Date, as required under, and in conformity with, the 1933 Act, including Rule 424(b) thereunder. The Company shall provide the Buyer a reasonable opportunity to comment on a draft of each Prospectus Supplement and any Issuer Free Writing Prospectus, shall give due consideration to all such comments and, subject to the provisions of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hereof, shall deliver or make available to the Buyer, without charge, an electronic copy of each form of Prospectus Supplement, together with the Prospectus, and any Permitted Free Writing Prospectus on such Closing Date. The Company consents to the use of the Prospectus (and of any Prospectus Supplements thereto) in accordance with the provisions of the 1933 Act and with the securities or “blue sky” laws of the jurisdictions in which the Securities may be sold by the Buyer, in connection with the offering and sale of the Securities and for such period of time thereafter as the Prospectus (or in lieu thereof, the notice referred to in Rule 173(a) under the 1933 Act) is required by the 1933 Act to be delivered in connection with sales of the Securities. If during such period of time any event shall occur that in the judgment of the Company and its counsel is required to be set forth in the Registration Statement or the Prospectus or any Permitted Free Writing Prospectus or should be set forth therein in order to make the statements made therein (in the case of the Prospectus, in light of the circumstances under which they were made) not misleading, or if it is</w:t>
      </w:r>
    </w:p>
    <w:p>
      <w:pPr>
        <w:sectPr>
          <w:pgSz w:w="11900" w:h="16838" w:orient="portrait"/>
          <w:cols w:equalWidth="0" w:num="1">
            <w:col w:w="10265"/>
          </w:cols>
          <w:pgMar w:left="975" w:top="1440" w:right="659" w:bottom="1440" w:gutter="0" w:footer="0" w:header="0"/>
        </w:sectPr>
      </w:pPr>
    </w:p>
    <w:bookmarkStart w:id="231" w:name="page232"/>
    <w:bookmarkEnd w:id="23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necessary to amend the Registration Statement or supplement or amend the Prospectus or any Permitted Free Writing Prospectus to comply with the 1933 Act or any other applicable law or regulation, the Company shall forthwith prepare and, subject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above, file with the SEC an appropriate amendment to the Registration Statement or Prospectus Supplement to the Prospectus (or supplement to the Permitted Free Writing Prospectus) and shall expeditiously furnish or make available to the Buyer an electronic copy thereof.</w:t>
      </w:r>
    </w:p>
    <w:p>
      <w:pPr>
        <w:spacing w:after="0" w:line="179" w:lineRule="exact"/>
        <w:rPr>
          <w:sz w:val="20"/>
          <w:szCs w:val="20"/>
          <w:color w:val="auto"/>
        </w:rPr>
      </w:pPr>
    </w:p>
    <w:p>
      <w:pPr>
        <w:jc w:val="both"/>
        <w:ind w:firstLine="655"/>
        <w:spacing w:after="0" w:line="247" w:lineRule="auto"/>
        <w:tabs>
          <w:tab w:leader="none" w:pos="129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Stop Orders</w:t>
      </w:r>
      <w:r>
        <w:rPr>
          <w:rFonts w:ascii="Times New Roman" w:cs="Times New Roman" w:eastAsia="Times New Roman" w:hAnsi="Times New Roman"/>
          <w:sz w:val="22"/>
          <w:szCs w:val="22"/>
          <w:color w:val="auto"/>
        </w:rPr>
        <w:t>. The Company shall advise the Buyer promptly (but in no event later than 24 hours) and shall confirm such advice in writing: (i) of the Company’s receipt of notice of any request by the SEC for amendment of or a supplement to the Registration Statement, the Prospectus, any Permitted Free Writing Prospectus or for any additional information; (ii) of the Company’s receipt of notice of the issuance by the SEC of any stop order suspending the effectiveness of the Registration Statement or prohibiting or suspending the use of the Prospectus or any Prospectus Supplement, or of the suspension of qualification of the Securities for offering or sale in any jurisdiction, or the initiation or contemplated initiation of any proceeding for such purpose; (iii) of the Company becoming aware of the happening of any event, which makes any statement of a material fact made in the Registration Statement, the Prospectus or any Permitted Free Writing Prospectus untrue or which requires the making of any additions to or changes to the statements then made in the Registration Statement, the Prospectus or any Permitted Free Writing Prospectus in order to state a material fact required by the 1933 Act to be stated therein or necessary in order to make the statements then made therein (in the case of the Prospectus, in light of the circumstances under which they were made) not misleading, or of the necessity to amend the Registration Statement or supplement the Prospectus or any Permitted Free Writing Prospectus to comply with the 1933 Act or any other law or (iv) if at any time following the date hereof the Registration Statement is not effective or is not otherwise available for the issuance of the Securities or any Prospectus contained therein is not available for use for any other reason. Thereafter, the Company shall promptly notify such holders when the Registration Statement, the Prospectus, any Permitted Free Writing Prospectus and/or any amendment or supplement thereto, as applicable, is effective and available for the issuance of the Securities. If at any time the SEC shall issue any stop order suspending the effectiveness of the Registration Statement or prohibiting or suspending the use of the Prospectus or any Prospectus Supplement, the Company shall use best efforts to obtain the withdrawal of such order at the earliest possible time.</w:t>
      </w:r>
    </w:p>
    <w:p>
      <w:pPr>
        <w:spacing w:after="0" w:line="192" w:lineRule="exact"/>
        <w:rPr>
          <w:rFonts w:ascii="Times New Roman" w:cs="Times New Roman" w:eastAsia="Times New Roman" w:hAnsi="Times New Roman"/>
          <w:sz w:val="22"/>
          <w:szCs w:val="22"/>
          <w:color w:val="auto"/>
        </w:rPr>
      </w:pPr>
    </w:p>
    <w:p>
      <w:pPr>
        <w:jc w:val="both"/>
        <w:ind w:firstLine="655"/>
        <w:spacing w:after="0" w:line="249" w:lineRule="auto"/>
        <w:tabs>
          <w:tab w:leader="none" w:pos="129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w:t>
      </w:r>
      <w:r>
        <w:rPr>
          <w:rFonts w:ascii="Times New Roman" w:cs="Times New Roman" w:eastAsia="Times New Roman" w:hAnsi="Times New Roman"/>
          <w:sz w:val="22"/>
          <w:szCs w:val="22"/>
          <w:color w:val="auto"/>
        </w:rPr>
        <w:t>. The Company shall, on or before each Closing Date, take such action as the Company shall reasonably determine is necessary in order to obtain an exemption for, or to, qualify the Securities for sale to the Buyers at such applicable Closing pursuant to this Agreement under applicable securities or “Blue Sky” laws of the states of the United States (or to obtain an exemption from such qualification), and shall provide evidence of any such action so taken to the Buyers on or prior to such applicable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w:t>
      </w:r>
    </w:p>
    <w:p>
      <w:pPr>
        <w:sectPr>
          <w:pgSz w:w="11900" w:h="16838" w:orient="portrait"/>
          <w:cols w:equalWidth="0" w:num="1">
            <w:col w:w="10920"/>
          </w:cols>
          <w:pgMar w:left="320" w:top="1440" w:right="659" w:bottom="1440" w:gutter="0" w:footer="0" w:header="0"/>
        </w:sectPr>
      </w:pPr>
    </w:p>
    <w:bookmarkStart w:id="232" w:name="page233"/>
    <w:bookmarkEnd w:id="23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statutes, rules, regulations and the like relating to the offering and sale of the Securities to the Buyers.</w:t>
      </w:r>
    </w:p>
    <w:p>
      <w:pPr>
        <w:spacing w:after="0" w:line="220" w:lineRule="exact"/>
        <w:rPr>
          <w:sz w:val="20"/>
          <w:szCs w:val="20"/>
          <w:color w:val="auto"/>
        </w:rPr>
      </w:pPr>
    </w:p>
    <w:p>
      <w:pPr>
        <w:jc w:val="both"/>
        <w:ind w:firstLine="655"/>
        <w:spacing w:after="0" w:line="256" w:lineRule="auto"/>
        <w:tabs>
          <w:tab w:leader="none" w:pos="129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Status</w:t>
      </w:r>
      <w:r>
        <w:rPr>
          <w:rFonts w:ascii="Times New Roman" w:cs="Times New Roman" w:eastAsia="Times New Roman" w:hAnsi="Times New Roman"/>
          <w:sz w:val="22"/>
          <w:szCs w:val="22"/>
          <w:color w:val="auto"/>
        </w:rPr>
        <w:t>. Until the date on which the Buyers shall have sold all of the Underlying Securities (the “</w:t>
      </w:r>
      <w:r>
        <w:rPr>
          <w:rFonts w:ascii="Times New Roman" w:cs="Times New Roman" w:eastAsia="Times New Roman" w:hAnsi="Times New Roman"/>
          <w:sz w:val="22"/>
          <w:szCs w:val="22"/>
          <w:b w:val="1"/>
          <w:bCs w:val="1"/>
          <w:color w:val="auto"/>
        </w:rPr>
        <w:t>Reporting Period</w:t>
      </w:r>
      <w:r>
        <w:rPr>
          <w:rFonts w:ascii="Times New Roman" w:cs="Times New Roman" w:eastAsia="Times New Roman" w:hAnsi="Times New Roman"/>
          <w:sz w:val="22"/>
          <w:szCs w:val="22"/>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6" w:lineRule="exact"/>
        <w:rPr>
          <w:rFonts w:ascii="Times New Roman" w:cs="Times New Roman" w:eastAsia="Times New Roman" w:hAnsi="Times New Roman"/>
          <w:sz w:val="22"/>
          <w:szCs w:val="22"/>
          <w:color w:val="auto"/>
        </w:rPr>
      </w:pPr>
    </w:p>
    <w:p>
      <w:pPr>
        <w:ind w:firstLine="655"/>
        <w:spacing w:after="0" w:line="271" w:lineRule="auto"/>
        <w:tabs>
          <w:tab w:leader="none" w:pos="129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proceeds from the sale of the Securities with respect to any applicable Closing as described in the Prospectus Supplement for such applicable Closing.</w:t>
      </w:r>
    </w:p>
    <w:p>
      <w:pPr>
        <w:spacing w:after="0" w:line="157" w:lineRule="exact"/>
        <w:rPr>
          <w:rFonts w:ascii="Times New Roman" w:cs="Times New Roman" w:eastAsia="Times New Roman" w:hAnsi="Times New Roman"/>
          <w:sz w:val="22"/>
          <w:szCs w:val="22"/>
          <w:color w:val="auto"/>
        </w:rPr>
      </w:pPr>
    </w:p>
    <w:p>
      <w:pPr>
        <w:jc w:val="both"/>
        <w:ind w:right="20" w:firstLine="655"/>
        <w:spacing w:after="0" w:line="255" w:lineRule="auto"/>
        <w:tabs>
          <w:tab w:leader="none" w:pos="129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The Company agrees to send the following to each holder of Notes (each, an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during the Reporting Period (i) unless the following are filed with the SEC through EDGAR and are available to the public through the EDGAR system, within one</w:t>
      </w:r>
    </w:p>
    <w:p>
      <w:pPr>
        <w:jc w:val="both"/>
        <w:ind w:firstLine="8"/>
        <w:spacing w:after="0" w:line="247" w:lineRule="auto"/>
        <w:tabs>
          <w:tab w:leader="none" w:pos="31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after the filing thereof with the SEC, a copy of its Annual Report on Form 20-F, Report of Foreign Issuer on Form 6-K, any other interim reports or any consolidated balance sheets, income statements, shareholders’ equity statements and/or cash flow statements for any period other than annual, any Report of Foreign Issuer on Form 6-K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shareholders of the Company generally, contemporaneously with the making available or giving thereof to the shareholders.</w:t>
      </w:r>
    </w:p>
    <w:p>
      <w:pPr>
        <w:spacing w:after="0" w:line="278" w:lineRule="exact"/>
        <w:rPr>
          <w:rFonts w:ascii="Times New Roman" w:cs="Times New Roman" w:eastAsia="Times New Roman" w:hAnsi="Times New Roman"/>
          <w:sz w:val="22"/>
          <w:szCs w:val="22"/>
          <w:color w:val="auto"/>
        </w:rPr>
      </w:pPr>
    </w:p>
    <w:p>
      <w:pPr>
        <w:jc w:val="both"/>
        <w:ind w:firstLine="655"/>
        <w:spacing w:after="0" w:line="261" w:lineRule="auto"/>
        <w:tabs>
          <w:tab w:leader="none" w:pos="1283"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Listing</w:t>
      </w:r>
      <w:r>
        <w:rPr>
          <w:rFonts w:ascii="Times New Roman" w:cs="Times New Roman" w:eastAsia="Times New Roman" w:hAnsi="Times New Roman"/>
          <w:sz w:val="21"/>
          <w:szCs w:val="21"/>
          <w:color w:val="auto"/>
        </w:rPr>
        <w:t>. The Company shall promptly secure the listing or designation for quotation (as the case may be) of all of the Underlying Securities upon each national securities exchange and automated quotation system, if any, upon which the Ordinary Shares, is then listed or designated for quotation (as the case may be) (subject to official notice of issuance) and shall maintain such listing or designation for quotation (as the case may be) of all Underlying Securities from time to time issuable under the terms of the Transaction Documents on such national securities exchange or automated quotation system. The Company shall maintain the Ordinary Shares’ listing or authorization for quotation (as the case may be) on The New York Stock Exchange, the NYSE American, the Nasdaq Capital Market, the Nasdaq Global Select Market, or the Nasdaq Global Market (each, an “</w:t>
      </w:r>
      <w:r>
        <w:rPr>
          <w:rFonts w:ascii="Times New Roman" w:cs="Times New Roman" w:eastAsia="Times New Roman" w:hAnsi="Times New Roman"/>
          <w:sz w:val="21"/>
          <w:szCs w:val="21"/>
          <w:b w:val="1"/>
          <w:bCs w:val="1"/>
          <w:color w:val="auto"/>
        </w:rPr>
        <w:t>Eligible Market</w:t>
      </w:r>
      <w:r>
        <w:rPr>
          <w:rFonts w:ascii="Times New Roman" w:cs="Times New Roman" w:eastAsia="Times New Roman" w:hAnsi="Times New Roman"/>
          <w:sz w:val="21"/>
          <w:szCs w:val="21"/>
          <w:color w:val="auto"/>
        </w:rPr>
        <w:t xml:space="preserve">”). Neither the Company nor any of its Subsidiaries shall take any action which could be reasonably expected to result in the delisting or suspension of the Ordinary Shares, on an Eligible Market. The Company shall pay all fees and expenses in connection with satisfying its obligations under this </w:t>
      </w:r>
      <w:r>
        <w:rPr>
          <w:rFonts w:ascii="Times New Roman" w:cs="Times New Roman" w:eastAsia="Times New Roman" w:hAnsi="Times New Roman"/>
          <w:sz w:val="21"/>
          <w:szCs w:val="21"/>
          <w:u w:val="single" w:color="auto"/>
          <w:color w:val="auto"/>
        </w:rPr>
        <w:t>Section 4(i)</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Underlying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means (i) the Conversion Shares, and (ii) any share capital of the Company issued or issuable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Conversion Shares or the Notes, respectively, including, without limitation, (1) as a result of any share subdivision, share</w:t>
      </w:r>
    </w:p>
    <w:p>
      <w:pPr>
        <w:sectPr>
          <w:pgSz w:w="11900" w:h="16838" w:orient="portrait"/>
          <w:cols w:equalWidth="0" w:num="1">
            <w:col w:w="10920"/>
          </w:cols>
          <w:pgMar w:left="320" w:top="1440" w:right="659" w:bottom="1440" w:gutter="0" w:footer="0" w:header="0"/>
        </w:sectPr>
      </w:pPr>
    </w:p>
    <w:bookmarkStart w:id="233" w:name="page234"/>
    <w:bookmarkEnd w:id="233"/>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split, share combination, share dividend, recapitalization, exchange or similar event or otherwise and (2) any share capital of the Company into which the Ordinary Shares are converted or exchanged and any share capital of a Successor Entity (as defined in the Notes) into which the Ordinary Shares are converted or exchanged, in each case, without regard to any limitations on conversion of the Notes.</w:t>
      </w:r>
    </w:p>
    <w:p>
      <w:pPr>
        <w:spacing w:after="0" w:line="176" w:lineRule="exact"/>
        <w:rPr>
          <w:sz w:val="20"/>
          <w:szCs w:val="20"/>
          <w:color w:val="auto"/>
        </w:rPr>
      </w:pPr>
    </w:p>
    <w:p>
      <w:pPr>
        <w:jc w:val="both"/>
        <w:ind w:firstLine="655"/>
        <w:spacing w:after="0" w:line="247" w:lineRule="auto"/>
        <w:tabs>
          <w:tab w:leader="none" w:pos="128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The Company shall reimburse the lead Buyer (i) at the Initial Closing, a non-accountable amount of $400,000 for the fees and expenses of the Buyer and (ii) at each Additional Closing, a non-accountable amount of $35,000 for the fees and expenses of Kelley Drye &amp; Warren LLP, in each case, for all costs and expenses incurred by it or its affiliates in connection with the structuring, documentation, negotiation and closing of the transactions contemplated by the Transaction Documents (including, without limitation, as applicable, all legal fees of outside counsel and disbursements of Kelley Drye &amp; Warren LLP, counsel to the lead Buyer, any other reasonable fees and expenses in connection with the structuring, documentation, negotiation and closing of the transactions contemplated by the Transaction Documents and due diligence and regulatory filings in connection therewith) (the “</w:t>
      </w:r>
      <w:r>
        <w:rPr>
          <w:rFonts w:ascii="Times New Roman" w:cs="Times New Roman" w:eastAsia="Times New Roman" w:hAnsi="Times New Roman"/>
          <w:sz w:val="22"/>
          <w:szCs w:val="22"/>
          <w:b w:val="1"/>
          <w:bCs w:val="1"/>
          <w:color w:val="auto"/>
        </w:rPr>
        <w:t>Transaction Expenses</w:t>
      </w:r>
      <w:r>
        <w:rPr>
          <w:rFonts w:ascii="Times New Roman" w:cs="Times New Roman" w:eastAsia="Times New Roman" w:hAnsi="Times New Roman"/>
          <w:sz w:val="22"/>
          <w:szCs w:val="22"/>
          <w:color w:val="auto"/>
        </w:rPr>
        <w:t>”) and shall be withheld by the lead Buyer from its Purchase Price at each Closing, and with respect to the Initial Closing, less $75,000 previously paid by the Company to the lead investor; provided that, subject to the fee caps above, the Company shall promptly reimburse Kelley Drye &amp; Warren LLP on demand for all Transaction Expenses not so reimbursed through such withholding at such applicable Closing. The Company shall be responsible for the payment of any placement agent’s fees, financial advisory fees, any fees and expenses of the Trustee (including, without limitation, the fees and expenses of any legal counsel to the Trustee), transfer agent fees, DTC (as defined below) fees or broker’s commissions (other than for Persons engaged by any Buyer) relating to or arising out of the transactions contemplated hereby (including, without limitation, any fees or commissions payable to the Placement Agent,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44" w:lineRule="exact"/>
        <w:rPr>
          <w:rFonts w:ascii="Times New Roman" w:cs="Times New Roman" w:eastAsia="Times New Roman" w:hAnsi="Times New Roman"/>
          <w:sz w:val="22"/>
          <w:szCs w:val="22"/>
          <w:color w:val="auto"/>
        </w:rPr>
      </w:pPr>
    </w:p>
    <w:p>
      <w:pPr>
        <w:jc w:val="both"/>
        <w:ind w:firstLine="655"/>
        <w:spacing w:after="0" w:line="263" w:lineRule="auto"/>
        <w:tabs>
          <w:tab w:leader="none" w:pos="129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Pledge of Securities</w:t>
      </w:r>
      <w:r>
        <w:rPr>
          <w:rFonts w:ascii="Times New Roman" w:cs="Times New Roman" w:eastAsia="Times New Roman" w:hAnsi="Times New Roman"/>
          <w:sz w:val="21"/>
          <w:szCs w:val="21"/>
          <w:color w:val="auto"/>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17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Transactions and Other Material Information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w:t>
      </w:r>
      <w:r>
        <w:rPr>
          <w:rFonts w:ascii="Times New Roman" w:cs="Times New Roman" w:eastAsia="Times New Roman" w:hAnsi="Times New Roman"/>
          <w:sz w:val="22"/>
          <w:szCs w:val="22"/>
          <w:color w:val="auto"/>
        </w:rPr>
        <w:t>.</w:t>
      </w:r>
    </w:p>
    <w:p>
      <w:pPr>
        <w:sectPr>
          <w:pgSz w:w="11900" w:h="16838" w:orient="portrait"/>
          <w:cols w:equalWidth="0" w:num="1">
            <w:col w:w="10920"/>
          </w:cols>
          <w:pgMar w:left="320" w:top="1440" w:right="659" w:bottom="1440" w:gutter="0" w:footer="0" w:header="0"/>
        </w:sectPr>
      </w:pPr>
    </w:p>
    <w:bookmarkStart w:id="234" w:name="page235"/>
    <w:bookmarkEnd w:id="234"/>
    <w:p>
      <w:pPr>
        <w:spacing w:after="0" w:line="198" w:lineRule="exact"/>
        <w:rPr>
          <w:sz w:val="20"/>
          <w:szCs w:val="20"/>
          <w:color w:val="auto"/>
        </w:rPr>
      </w:pPr>
    </w:p>
    <w:p>
      <w:pPr>
        <w:jc w:val="both"/>
        <w:ind w:left="180" w:firstLine="1300"/>
        <w:spacing w:after="0" w:line="239" w:lineRule="auto"/>
        <w:tabs>
          <w:tab w:leader="none" w:pos="211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Closing</w:t>
      </w:r>
      <w:r>
        <w:rPr>
          <w:rFonts w:ascii="Times New Roman" w:cs="Times New Roman" w:eastAsia="Times New Roman" w:hAnsi="Times New Roman"/>
          <w:sz w:val="22"/>
          <w:szCs w:val="22"/>
          <w:color w:val="auto"/>
        </w:rPr>
        <w:t>. The Company shall, on or before 9:00 a.m., New York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Business Day after the date of this Agreement, issue a press release reasonably acceptable to the Buyers disclosing all the material terms of the transactions contemplated by the Transaction Documents. On or before 9:30 a.m., New York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Business Day after the date of this Agreement, the Company shall file a Report of Foreign Issuer on Form 6-K describing all the material terms of the transactions contemplated by the Transaction Documents in the form required by the 1934 Act and attaching all the material Transaction Documents (including, without limitation, this Agreement, the form of Notes, the form of Indenture, and the form of Supplemental Indentures) (including all attachments, the “</w:t>
      </w:r>
      <w:r>
        <w:rPr>
          <w:rFonts w:ascii="Times New Roman" w:cs="Times New Roman" w:eastAsia="Times New Roman" w:hAnsi="Times New Roman"/>
          <w:sz w:val="22"/>
          <w:szCs w:val="22"/>
          <w:b w:val="1"/>
          <w:bCs w:val="1"/>
          <w:color w:val="auto"/>
        </w:rPr>
        <w:t>Initial 6-K Filing</w:t>
      </w:r>
      <w:r>
        <w:rPr>
          <w:rFonts w:ascii="Times New Roman" w:cs="Times New Roman" w:eastAsia="Times New Roman" w:hAnsi="Times New Roman"/>
          <w:sz w:val="22"/>
          <w:szCs w:val="22"/>
          <w:color w:val="auto"/>
        </w:rPr>
        <w:t>”). From and after the filing of the Initial 6-K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Initial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92" w:lineRule="exact"/>
        <w:rPr>
          <w:rFonts w:ascii="Times New Roman" w:cs="Times New Roman" w:eastAsia="Times New Roman" w:hAnsi="Times New Roman"/>
          <w:sz w:val="22"/>
          <w:szCs w:val="22"/>
          <w:color w:val="auto"/>
        </w:rPr>
      </w:pPr>
    </w:p>
    <w:p>
      <w:pPr>
        <w:jc w:val="both"/>
        <w:ind w:left="180" w:firstLine="1300"/>
        <w:spacing w:after="0" w:line="260" w:lineRule="auto"/>
        <w:tabs>
          <w:tab w:leader="none" w:pos="2119"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Closing</w:t>
      </w:r>
      <w:r>
        <w:rPr>
          <w:rFonts w:ascii="Times New Roman" w:cs="Times New Roman" w:eastAsia="Times New Roman" w:hAnsi="Times New Roman"/>
          <w:sz w:val="21"/>
          <w:szCs w:val="21"/>
          <w:color w:val="auto"/>
        </w:rPr>
        <w:t>. The Company shall, on or before 9:00 a.m., New York time, on the first (1st) Trading Day after the Company receives an Additional Closing Notice either issue a press release (each, an “</w:t>
      </w:r>
      <w:r>
        <w:rPr>
          <w:rFonts w:ascii="Times New Roman" w:cs="Times New Roman" w:eastAsia="Times New Roman" w:hAnsi="Times New Roman"/>
          <w:sz w:val="21"/>
          <w:szCs w:val="21"/>
          <w:b w:val="1"/>
          <w:bCs w:val="1"/>
          <w:color w:val="auto"/>
        </w:rPr>
        <w:t>Additional Press Release</w:t>
      </w:r>
      <w:r>
        <w:rPr>
          <w:rFonts w:ascii="Times New Roman" w:cs="Times New Roman" w:eastAsia="Times New Roman" w:hAnsi="Times New Roman"/>
          <w:sz w:val="21"/>
          <w:szCs w:val="21"/>
          <w:color w:val="auto"/>
        </w:rPr>
        <w:t>”) or file a Report of Foreign Issuer on Form 6-K (each, an “</w:t>
      </w:r>
      <w:r>
        <w:rPr>
          <w:rFonts w:ascii="Times New Roman" w:cs="Times New Roman" w:eastAsia="Times New Roman" w:hAnsi="Times New Roman"/>
          <w:sz w:val="21"/>
          <w:szCs w:val="21"/>
          <w:b w:val="1"/>
          <w:bCs w:val="1"/>
          <w:color w:val="auto"/>
        </w:rPr>
        <w:t>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6-K Filing</w:t>
      </w:r>
      <w:r>
        <w:rPr>
          <w:rFonts w:ascii="Times New Roman" w:cs="Times New Roman" w:eastAsia="Times New Roman" w:hAnsi="Times New Roman"/>
          <w:sz w:val="21"/>
          <w:szCs w:val="21"/>
          <w:color w:val="auto"/>
        </w:rPr>
        <w:t>”, and together with the Initial 6-K Filing, the “</w:t>
      </w:r>
      <w:r>
        <w:rPr>
          <w:rFonts w:ascii="Times New Roman" w:cs="Times New Roman" w:eastAsia="Times New Roman" w:hAnsi="Times New Roman"/>
          <w:sz w:val="21"/>
          <w:szCs w:val="21"/>
          <w:b w:val="1"/>
          <w:bCs w:val="1"/>
          <w:color w:val="auto"/>
        </w:rPr>
        <w:t>6-K Filings</w:t>
      </w:r>
      <w:r>
        <w:rPr>
          <w:rFonts w:ascii="Times New Roman" w:cs="Times New Roman" w:eastAsia="Times New Roman" w:hAnsi="Times New Roman"/>
          <w:sz w:val="21"/>
          <w:szCs w:val="21"/>
          <w:color w:val="auto"/>
        </w:rPr>
        <w:t>”), in each case reasonably acceptable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Buyer participating in such Additional Closing, disclosing that “an institutional investor” has elected to deliver an Additional Closing Notice to the Company. From and after the filing of the Additional Press Release or Additional 6-K Filing, solely to the extent such Additional Closing Notice constitutes material non-public information (as specified by the Company in its acknowledgement to such applicable Additional Closing Notice),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Additional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ectPr>
          <w:pgSz w:w="11900" w:h="16838" w:orient="portrait"/>
          <w:cols w:equalWidth="0" w:num="1">
            <w:col w:w="9800"/>
          </w:cols>
          <w:pgMar w:left="1440" w:top="1440" w:right="659" w:bottom="1440" w:gutter="0" w:footer="0" w:header="0"/>
        </w:sectPr>
      </w:pPr>
    </w:p>
    <w:bookmarkStart w:id="235" w:name="page236"/>
    <w:bookmarkEnd w:id="235"/>
    <w:p>
      <w:pPr>
        <w:spacing w:after="0" w:line="198" w:lineRule="exact"/>
        <w:rPr>
          <w:sz w:val="20"/>
          <w:szCs w:val="20"/>
          <w:color w:val="auto"/>
        </w:rPr>
      </w:pPr>
    </w:p>
    <w:p>
      <w:pPr>
        <w:jc w:val="both"/>
        <w:ind w:left="-460" w:firstLine="644"/>
        <w:spacing w:after="0" w:line="258" w:lineRule="auto"/>
        <w:tabs>
          <w:tab w:leader="none" w:pos="83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Disclosure</w:t>
      </w:r>
      <w:r>
        <w:rPr>
          <w:rFonts w:ascii="Times New Roman" w:cs="Times New Roman" w:eastAsia="Times New Roman" w:hAnsi="Times New Roman"/>
          <w:sz w:val="21"/>
          <w:szCs w:val="21"/>
          <w:color w:val="auto"/>
        </w:rPr>
        <w:t xml:space="preserve">.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w:t>
      </w:r>
      <w:r>
        <w:rPr>
          <w:rFonts w:ascii="Times New Roman" w:cs="Times New Roman" w:eastAsia="Times New Roman" w:hAnsi="Times New Roman"/>
          <w:sz w:val="21"/>
          <w:szCs w:val="21"/>
          <w:u w:val="single" w:color="auto"/>
          <w:color w:val="auto"/>
        </w:rPr>
        <w:t>Section 4(r)</w:t>
      </w:r>
      <w:r>
        <w:rPr>
          <w:rFonts w:ascii="Times New Roman" w:cs="Times New Roman" w:eastAsia="Times New Roman" w:hAnsi="Times New Roman"/>
          <w:sz w:val="21"/>
          <w:szCs w:val="21"/>
          <w:color w:val="auto"/>
        </w:rPr>
        <w:t xml:space="preserve">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may deliver a written notice to the Company to request that the Company promptly publicly release such applicable material, non-public information. Except where the Company determines in good faith that such information is immaterial, the Company shall publicly release such information promptly after the written notice by such Buyer, failing which,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shareholders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6-K Filings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except as required by applicable law or regulations; provided, however, that with respect to any filing or submission required by applicable law or regulations, (i) such filing or submission shall contain only such information as is necessary to comply with applicable law or regulations, and (ii) unless specifically prohibited by applicable law or court order, the Company shall promptly notify the Buyers of the requirement to make such submission or filing and provide the Buyers with a copy thereof. Notwithstanding anything contained in this Agreement to the contrary and without implication that the contrary would</w:t>
      </w:r>
    </w:p>
    <w:p>
      <w:pPr>
        <w:sectPr>
          <w:pgSz w:w="11900" w:h="16838" w:orient="portrait"/>
          <w:cols w:equalWidth="0" w:num="1">
            <w:col w:w="9800"/>
          </w:cols>
          <w:pgMar w:left="1440" w:top="1440" w:right="659" w:bottom="1440" w:gutter="0" w:footer="0" w:header="0"/>
        </w:sectPr>
      </w:pPr>
    </w:p>
    <w:bookmarkStart w:id="236" w:name="page237"/>
    <w:bookmarkEnd w:id="236"/>
    <w:p>
      <w:pPr>
        <w:spacing w:after="0" w:line="198"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22"/>
          <w:szCs w:val="22"/>
          <w:color w:val="auto"/>
        </w:rPr>
        <w:t>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179" w:lineRule="exact"/>
        <w:rPr>
          <w:sz w:val="20"/>
          <w:szCs w:val="20"/>
          <w:color w:val="auto"/>
        </w:rPr>
      </w:pPr>
    </w:p>
    <w:p>
      <w:pPr>
        <w:jc w:val="both"/>
        <w:ind w:left="-655" w:firstLine="655"/>
        <w:spacing w:after="0" w:line="232" w:lineRule="auto"/>
        <w:tabs>
          <w:tab w:leader="none" w:pos="6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Issuance of Securities</w:t>
      </w:r>
      <w:r>
        <w:rPr>
          <w:rFonts w:ascii="Times New Roman" w:cs="Times New Roman" w:eastAsia="Times New Roman" w:hAnsi="Times New Roman"/>
          <w:sz w:val="22"/>
          <w:szCs w:val="22"/>
          <w:color w:val="auto"/>
        </w:rPr>
        <w:t>. So long as any Buyer beneficially owns any Securities, the Company will not, without the prior written consent of the Required Holders, issue any Notes (other than to the Buyers as contemplated pursuant to the terms of this Agreement or the Notes), and the Company shall not issue any other securities that would cause a breach or default under the Notes. The Company agrees that for (x) the period commencing on the Initial Closing Date, through, and including,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immediately following the Initial Closing date and (y) each period commencing on an Additional Closing Date hereunder, through, and including,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Trading Day immediately following such Additional Closing Date (each, a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neither the Company nor any of its Subsidiaries shall directly or indirectly:</w:t>
      </w:r>
    </w:p>
    <w:p>
      <w:pPr>
        <w:spacing w:after="0" w:line="205" w:lineRule="exact"/>
        <w:rPr>
          <w:rFonts w:ascii="Times New Roman" w:cs="Times New Roman" w:eastAsia="Times New Roman" w:hAnsi="Times New Roman"/>
          <w:sz w:val="22"/>
          <w:szCs w:val="22"/>
          <w:color w:val="auto"/>
        </w:rPr>
      </w:pPr>
    </w:p>
    <w:p>
      <w:pPr>
        <w:jc w:val="both"/>
        <w:ind w:left="5" w:firstLine="644"/>
        <w:spacing w:after="0" w:line="250" w:lineRule="auto"/>
        <w:tabs>
          <w:tab w:leader="none" w:pos="128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registration statement under the 1933 Act relating to securities that are not the Underlying Securities (other than a registration statement on Form S-4, Form S-8 or such supplements or amendments to registration statements that are outstanding and have been declared effective by the SEC as of the date hereof (including the Registration Statement) (solely to the extent necessary to keep such registration statements effective and available and not with respect to any Subsequent Placement)); or</w:t>
      </w:r>
    </w:p>
    <w:p>
      <w:pPr>
        <w:spacing w:after="0" w:line="194" w:lineRule="exact"/>
        <w:rPr>
          <w:rFonts w:ascii="Times New Roman" w:cs="Times New Roman" w:eastAsia="Times New Roman" w:hAnsi="Times New Roman"/>
          <w:sz w:val="22"/>
          <w:szCs w:val="22"/>
          <w:color w:val="auto"/>
        </w:rPr>
      </w:pPr>
    </w:p>
    <w:p>
      <w:pPr>
        <w:jc w:val="both"/>
        <w:ind w:left="5" w:firstLine="644"/>
        <w:spacing w:after="0" w:line="247" w:lineRule="auto"/>
        <w:tabs>
          <w:tab w:leader="none" w:pos="1295"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Ordinary Share Equivalent (as defined below),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22"/>
          <w:szCs w:val="22"/>
          <w:b w:val="1"/>
          <w:bCs w:val="1"/>
          <w:color w:val="auto"/>
        </w:rPr>
        <w:t>Subsequent Placement</w:t>
      </w:r>
      <w:r>
        <w:rPr>
          <w:rFonts w:ascii="Times New Roman" w:cs="Times New Roman" w:eastAsia="Times New Roman" w:hAnsi="Times New Roman"/>
          <w:sz w:val="22"/>
          <w:szCs w:val="22"/>
          <w:color w:val="auto"/>
        </w:rPr>
        <w:t xml:space="preserve">”). Notwithstanding the foregoing, this </w:t>
      </w:r>
      <w:r>
        <w:rPr>
          <w:rFonts w:ascii="Times New Roman" w:cs="Times New Roman" w:eastAsia="Times New Roman" w:hAnsi="Times New Roman"/>
          <w:sz w:val="22"/>
          <w:szCs w:val="22"/>
          <w:u w:val="single" w:color="auto"/>
          <w:color w:val="auto"/>
        </w:rPr>
        <w:t>Section 4(m)</w:t>
      </w:r>
      <w:r>
        <w:rPr>
          <w:rFonts w:ascii="Times New Roman" w:cs="Times New Roman" w:eastAsia="Times New Roman" w:hAnsi="Times New Roman"/>
          <w:sz w:val="22"/>
          <w:szCs w:val="22"/>
          <w:color w:val="auto"/>
        </w:rPr>
        <w:t xml:space="preserve"> shall not apply in respect of the issuance of (A) equity security or any equity-linked or related security, including restricted shares units, restricted shares, options and performance share awards, to purchase Ordinary Shares or equity-like grants including phantom shares, share appreciation rights issued or may be issued to directors, officers, consultants or employees of the Company for services rendered to the Company in their capacity as such pursuant to an Approved Share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(B) Ordinary Shares issued upon the conversion or exercise of convertible securities, Ordinary Share Equivalents (other than standard options to purchase</w:t>
      </w:r>
    </w:p>
    <w:p>
      <w:pPr>
        <w:sectPr>
          <w:pgSz w:w="11900" w:h="16838" w:orient="portrait"/>
          <w:cols w:equalWidth="0" w:num="1">
            <w:col w:w="10265"/>
          </w:cols>
          <w:pgMar w:left="975" w:top="1440" w:right="659" w:bottom="1440" w:gutter="0" w:footer="0" w:header="0"/>
        </w:sectPr>
      </w:pPr>
    </w:p>
    <w:bookmarkStart w:id="237" w:name="page238"/>
    <w:bookmarkEnd w:id="237"/>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Ordinary Shares issued pursuant to an Approved Share Plan that are covered by clause (A) above) issued or issuable pursuant to any arrangement entered into prior to the date hereof, provided that the conversion, exercise or issuance price of any such Ordinary Share Equivalents (other than standard options to purchase Ordinary Shares issued pursuant to an Approved Share Plan that are covered by clause (A) above) is not lowered, none of such Ordinary Share Equivalents (other than standard options to purchase Ordinary Shares issued pursuant to an Approved Share Plan that are covered by clause (A) above) are amended to increase the number of shares issuable thereunder and none of the terms or conditions of any such Ordinary Share Equivalents (other than standard options to purchase Ordinary Shares issued pursuant to an Approved Share Plan that are covered by clause (A) above) are otherwise materially changed in any manner that adversely affects any of the Buyers; (C) Ordinary Shares issued or issuable upon conversion of the Notes or otherwise pursuant to the terms of the Notes; (D) equity security or any equity-linked or related security issued or issuable pursuant to any Strategic Investment (as defined below) and/or Affiliate Transaction (as defined below) (but, in either case, excluding any Variable Rate Transaction (as defined below); and (E) equity security or any equity-linked or related security issued in connection with a deSPAC CB Refinancing (as defined below)(each of the foregoing in clauses (A) through (E), collectively the “</w:t>
      </w:r>
      <w:r>
        <w:rPr>
          <w:rFonts w:ascii="Times New Roman" w:cs="Times New Roman" w:eastAsia="Times New Roman" w:hAnsi="Times New Roman"/>
          <w:sz w:val="22"/>
          <w:szCs w:val="22"/>
          <w:b w:val="1"/>
          <w:bCs w:val="1"/>
          <w:color w:val="auto"/>
        </w:rPr>
        <w:t>Excluded Securities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Approved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any employee benefit plan which has been approved by the board of directors of the Company prior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to the date hereof pursuant to which equity security or any equity-linked or related security, including restricted shares units, restricted shares, options and performance share awards, to purchase Ordinary Shares or equity-like grants including phantom shares, share appreciation rights may be issued to any directors, officers, consultants or employees for services provided to the Company in their capacity as such. “</w:t>
      </w:r>
      <w:r>
        <w:rPr>
          <w:rFonts w:ascii="Times New Roman" w:cs="Times New Roman" w:eastAsia="Times New Roman" w:hAnsi="Times New Roman"/>
          <w:sz w:val="22"/>
          <w:szCs w:val="22"/>
          <w:b w:val="1"/>
          <w:bCs w:val="1"/>
          <w:color w:val="auto"/>
        </w:rPr>
        <w:t>Strategic Investment</w:t>
      </w:r>
      <w:r>
        <w:rPr>
          <w:rFonts w:ascii="Times New Roman" w:cs="Times New Roman" w:eastAsia="Times New Roman" w:hAnsi="Times New Roman"/>
          <w:sz w:val="22"/>
          <w:szCs w:val="22"/>
          <w:color w:val="auto"/>
        </w:rPr>
        <w:t>” means any transaction in which Ordinary Shares issued or issuable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(z)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w:t>
      </w:r>
      <w:r>
        <w:rPr>
          <w:rFonts w:ascii="Times New Roman" w:cs="Times New Roman" w:eastAsia="Times New Roman" w:hAnsi="Times New Roman"/>
          <w:sz w:val="22"/>
          <w:szCs w:val="22"/>
          <w:b w:val="1"/>
          <w:bCs w:val="1"/>
          <w:color w:val="auto"/>
        </w:rPr>
        <w:t>Affiliate Transaction</w:t>
      </w:r>
      <w:r>
        <w:rPr>
          <w:rFonts w:ascii="Times New Roman" w:cs="Times New Roman" w:eastAsia="Times New Roman" w:hAnsi="Times New Roman"/>
          <w:sz w:val="22"/>
          <w:szCs w:val="22"/>
          <w:color w:val="auto"/>
        </w:rPr>
        <w:t>” means any actual, proposed,</w:t>
      </w:r>
    </w:p>
    <w:p>
      <w:pPr>
        <w:sectPr>
          <w:pgSz w:w="11900" w:h="16838" w:orient="portrait"/>
          <w:cols w:equalWidth="0" w:num="1">
            <w:col w:w="10260"/>
          </w:cols>
          <w:pgMar w:left="980" w:top="1440" w:right="659" w:bottom="1440" w:gutter="0" w:footer="0" w:header="0"/>
        </w:sectPr>
      </w:pPr>
    </w:p>
    <w:bookmarkStart w:id="238" w:name="page239"/>
    <w:bookmarkEnd w:id="238"/>
    <w:p>
      <w:pPr>
        <w:spacing w:after="0" w:line="198"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22"/>
          <w:szCs w:val="22"/>
          <w:color w:val="auto"/>
        </w:rPr>
        <w:t>or contemplated transaction, arrangement, agreement, understanding, or series of related transactions or arrangements (including, without limitation, any purchase, sale, lease, license, transfer, disposition, acquisition, pledge, loan, guarantee, investment, joint venture, or exchange of property, assets, rights, or interests of any kind, or the provision or receipt of services, benefits, or advantages of any kind), whether written, oral, or implied, directly or indirectly, between (a) the Company or any Subsidiary, and (b) any Affiliate of the Company or any Subsidiary, including any transaction effected through one or more intermediaries or for the benefit of an Affiliate.</w:t>
      </w:r>
    </w:p>
    <w:p>
      <w:pPr>
        <w:spacing w:after="0" w:line="181" w:lineRule="exact"/>
        <w:rPr>
          <w:sz w:val="20"/>
          <w:szCs w:val="20"/>
          <w:color w:val="auto"/>
        </w:rPr>
      </w:pPr>
    </w:p>
    <w:p>
      <w:pPr>
        <w:jc w:val="both"/>
        <w:ind w:left="-655" w:firstLine="655"/>
        <w:spacing w:after="0" w:line="247" w:lineRule="auto"/>
        <w:tabs>
          <w:tab w:leader="none" w:pos="63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Until the later of (x) the Second Tranche Additional Closing Expiration Date and (y) such date on which no Notes remain outstanding (the “</w:t>
      </w:r>
      <w:r>
        <w:rPr>
          <w:rFonts w:ascii="Times New Roman" w:cs="Times New Roman" w:eastAsia="Times New Roman" w:hAnsi="Times New Roman"/>
          <w:sz w:val="22"/>
          <w:szCs w:val="22"/>
          <w:b w:val="1"/>
          <w:bCs w:val="1"/>
          <w:color w:val="auto"/>
        </w:rPr>
        <w:t>Covenant Period</w:t>
      </w:r>
      <w:r>
        <w:rPr>
          <w:rFonts w:ascii="Times New Roman" w:cs="Times New Roman" w:eastAsia="Times New Roman" w:hAnsi="Times New Roman"/>
          <w:sz w:val="22"/>
          <w:szCs w:val="22"/>
          <w:color w:val="auto"/>
        </w:rPr>
        <w:t>”), the Company shall take all action necessary to at all times have authorized, and reserved for the purpose of issuance, no less than 100% of the maximum number of Ordinary Shares issuable upon conversion of all the Notes then outstanding (assuming for purposes hereof that (w) all Additional Notes issuable hereunder have been issued as of such date of determination, (x) the Notes are convertible at the Floor Price then in effect (as defined in the Notes) as of such applicable date of determination, (y) interest on the Notes shall accrue through the first (1st) anniversary of the Initial Closing Date and will be converted in Ordinary Shares at a conversion price equal to the Floor Price as of such applicable date of determination and (z) any such conversion shall not take into account any limitations on the conversion of the Notes set forth in the Notes) (collectively, the “</w:t>
      </w:r>
      <w:r>
        <w:rPr>
          <w:rFonts w:ascii="Times New Roman" w:cs="Times New Roman" w:eastAsia="Times New Roman" w:hAnsi="Times New Roman"/>
          <w:sz w:val="22"/>
          <w:szCs w:val="22"/>
          <w:b w:val="1"/>
          <w:bCs w:val="1"/>
          <w:color w:val="auto"/>
        </w:rPr>
        <w:t>Required Reserve Amount</w:t>
      </w:r>
      <w:r>
        <w:rPr>
          <w:rFonts w:ascii="Times New Roman" w:cs="Times New Roman" w:eastAsia="Times New Roman" w:hAnsi="Times New Roman"/>
          <w:sz w:val="22"/>
          <w:szCs w:val="22"/>
          <w:color w:val="auto"/>
        </w:rPr>
        <w:t xml:space="preserve">”); provided that at no time shall the number of Ordinary Shares reserved pursuant to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be reduced other than proportionally in connection with any conversion and/or redemption, as applicable of Notes. If at any time the number of Ordinary Shares authorized and reserved for issuance is not sufficient to meet the Required Reserve Amount, the Company will promptly take all corporate action necessary to authorize and reserve a sufficient number of shares, including, without limitation, and/or calling a special meeting of shareholders to authorize additional Ordinary Shares to meet the Company’s obligations pursuant to the Transaction Documents, and in the case of an insufficient number of authorized Ordinary Shares, obtaining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200" w:lineRule="exact"/>
        <w:rPr>
          <w:rFonts w:ascii="Times New Roman" w:cs="Times New Roman" w:eastAsia="Times New Roman" w:hAnsi="Times New Roman"/>
          <w:sz w:val="22"/>
          <w:szCs w:val="22"/>
          <w:color w:val="auto"/>
        </w:rPr>
      </w:pPr>
    </w:p>
    <w:p>
      <w:pPr>
        <w:jc w:val="both"/>
        <w:ind w:left="-655" w:firstLine="655"/>
        <w:spacing w:after="0" w:line="257" w:lineRule="auto"/>
        <w:tabs>
          <w:tab w:leader="none" w:pos="63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2" w:lineRule="exact"/>
        <w:rPr>
          <w:rFonts w:ascii="Times New Roman" w:cs="Times New Roman" w:eastAsia="Times New Roman" w:hAnsi="Times New Roman"/>
          <w:sz w:val="22"/>
          <w:szCs w:val="22"/>
          <w:color w:val="auto"/>
        </w:rPr>
      </w:pPr>
    </w:p>
    <w:p>
      <w:pPr>
        <w:jc w:val="both"/>
        <w:ind w:left="-655" w:firstLine="655"/>
        <w:spacing w:after="0" w:line="251" w:lineRule="auto"/>
        <w:tabs>
          <w:tab w:leader="none" w:pos="63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Variable Rate Transactions</w:t>
      </w:r>
      <w:r>
        <w:rPr>
          <w:rFonts w:ascii="Times New Roman" w:cs="Times New Roman" w:eastAsia="Times New Roman" w:hAnsi="Times New Roman"/>
          <w:sz w:val="22"/>
          <w:szCs w:val="22"/>
          <w:color w:val="auto"/>
        </w:rPr>
        <w:t>. During the Covenant Period (except with the written consent of the Required Holders), the Company and each Subsidiary shall be prohibited from effecting or entering into an agreement to effect any Subsequent Placement involving a Variable Rate Transaction other than any (i) at-the-market offerings; provided that, the aggregate sales of Ordinary Shares thereunder during any given Trading Day shall not constitute more than 10% of the aggregate trading volume of the Ordinary Shares on such Trading Day (as reported by Bloomberg) (each, a “</w:t>
      </w:r>
      <w:r>
        <w:rPr>
          <w:rFonts w:ascii="Times New Roman" w:cs="Times New Roman" w:eastAsia="Times New Roman" w:hAnsi="Times New Roman"/>
          <w:sz w:val="22"/>
          <w:szCs w:val="22"/>
          <w:b w:val="1"/>
          <w:b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ATM</w:t>
      </w:r>
      <w:r>
        <w:rPr>
          <w:rFonts w:ascii="Times New Roman" w:cs="Times New Roman" w:eastAsia="Times New Roman" w:hAnsi="Times New Roman"/>
          <w:sz w:val="22"/>
          <w:szCs w:val="22"/>
          <w:color w:val="auto"/>
        </w:rPr>
        <w:t>”) or (ii) one or a series of offerings in connection with the incurrence</w:t>
      </w:r>
    </w:p>
    <w:p>
      <w:pPr>
        <w:sectPr>
          <w:pgSz w:w="11900" w:h="16838" w:orient="portrait"/>
          <w:cols w:equalWidth="0" w:num="1">
            <w:col w:w="10265"/>
          </w:cols>
          <w:pgMar w:left="975" w:top="1440" w:right="659" w:bottom="1440" w:gutter="0" w:footer="0" w:header="0"/>
        </w:sectPr>
      </w:pPr>
    </w:p>
    <w:bookmarkStart w:id="239" w:name="page240"/>
    <w:bookmarkEnd w:id="239"/>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of Indebtedness and/or the issuance of securities (including any equity security or any equity-linked or related security and debt security) by the Company or any Subsidiary to one or more Persons, all or a portion of the proceeds (it being acknowledged that the aggregate proceeds of which could exceed US$65 million) of which are intended to repurchase, redeem, retire or replace all or a portion of the Indebtedness of the Company under the deSPAC CBs, on substantially similar or no less favorable terms as the prior deSPAC CB refinancing, but with a maturity date at least 91 calendar days after the later of (x) Second Tranche Additional Closing Expiration Date and (y) such date no Notes remain outstanding (each, a “</w:t>
      </w:r>
      <w:r>
        <w:rPr>
          <w:rFonts w:ascii="Times New Roman" w:cs="Times New Roman" w:eastAsia="Times New Roman" w:hAnsi="Times New Roman"/>
          <w:sz w:val="22"/>
          <w:szCs w:val="22"/>
          <w:b w:val="1"/>
          <w:bCs w:val="1"/>
          <w:color w:val="auto"/>
        </w:rPr>
        <w:t>deSPAC CB Refinancing</w:t>
      </w:r>
      <w:r>
        <w:rPr>
          <w:rFonts w:ascii="Times New Roman" w:cs="Times New Roman" w:eastAsia="Times New Roman" w:hAnsi="Times New Roman"/>
          <w:sz w:val="22"/>
          <w:szCs w:val="22"/>
          <w:color w:val="auto"/>
        </w:rPr>
        <w:t>”, and, collectively with any Permitted ATM, each, a “</w:t>
      </w:r>
      <w:r>
        <w:rPr>
          <w:rFonts w:ascii="Times New Roman" w:cs="Times New Roman" w:eastAsia="Times New Roman" w:hAnsi="Times New Roman"/>
          <w:sz w:val="22"/>
          <w:szCs w:val="22"/>
          <w:b w:val="1"/>
          <w:bCs w:val="1"/>
          <w:color w:val="auto"/>
        </w:rPr>
        <w:t>Permitted VRT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Variable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means a transaction in which the Company or any Subsidiary (i) issues or sells any Ordinary Share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(A) at a conversion, exercise or exchange rate or other price that is based upon and/or varies with the trading prices of or quotations for the Ordinary Shares at any time after the initial issuance of such Ordinary Share Equivalents, or (B) with a conversion, exercise or exchange price that is subject to being reset at some future date after the initial issuance of such Ordinary Share Equivalents or upon the occurrence of specified or contingent events directly or indirectly related to the business of the Company or the market for the Ordinary Shares,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201" w:lineRule="exact"/>
        <w:rPr>
          <w:sz w:val="20"/>
          <w:szCs w:val="20"/>
          <w:color w:val="auto"/>
        </w:rPr>
      </w:pPr>
    </w:p>
    <w:p>
      <w:pPr>
        <w:jc w:val="both"/>
        <w:ind w:firstLine="655"/>
        <w:spacing w:after="0" w:line="250" w:lineRule="auto"/>
        <w:tabs>
          <w:tab w:leader="none" w:pos="129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 Right</w:t>
      </w:r>
      <w:r>
        <w:rPr>
          <w:rFonts w:ascii="Times New Roman" w:cs="Times New Roman" w:eastAsia="Times New Roman" w:hAnsi="Times New Roman"/>
          <w:sz w:val="22"/>
          <w:szCs w:val="22"/>
          <w:color w:val="auto"/>
        </w:rPr>
        <w:t xml:space="preserve">. During the Covenant Period, the Company shall not, directly or indirectly, effect any Subsequent Placement of Indebtedness that is directly or indirectly exchangeable or convertible into or which otherwise entitles the holder thereof to acquire any share capital or other security of the Company (including, without limitation, Ordinary Shares) unless the Company shall have first complied with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The Company acknowledges and agrees that the right set forth in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is a right granted by the Company, separately, to each Buyer.</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944"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five (5) Trading Days (or, with respect to any overnight Subsequent Placement, no less than twelve (12) hours (the “</w:t>
      </w:r>
      <w:r>
        <w:rPr>
          <w:rFonts w:ascii="Times New Roman" w:cs="Times New Roman" w:eastAsia="Times New Roman" w:hAnsi="Times New Roman"/>
          <w:sz w:val="21"/>
          <w:szCs w:val="21"/>
          <w:b w:val="1"/>
          <w:bCs w:val="1"/>
          <w:color w:val="auto"/>
        </w:rPr>
        <w:t>Overnight Notice Period</w:t>
      </w:r>
      <w:r>
        <w:rPr>
          <w:rFonts w:ascii="Times New Roman" w:cs="Times New Roman" w:eastAsia="Times New Roman" w:hAnsi="Times New Roman"/>
          <w:sz w:val="21"/>
          <w:szCs w:val="21"/>
          <w:color w:val="auto"/>
        </w:rPr>
        <w:t>”)) prior to any proposed or intended Subsequent Placement, the Company shall deliver to each Buyer a written notice (each such notice, a “</w:t>
      </w:r>
      <w:r>
        <w:rPr>
          <w:rFonts w:ascii="Times New Roman" w:cs="Times New Roman" w:eastAsia="Times New Roman" w:hAnsi="Times New Roman"/>
          <w:sz w:val="21"/>
          <w:szCs w:val="21"/>
          <w:b w:val="1"/>
          <w:bCs w:val="1"/>
          <w:color w:val="auto"/>
        </w:rPr>
        <w:t>Pre-Notice</w:t>
      </w:r>
      <w:r>
        <w:rPr>
          <w:rFonts w:ascii="Times New Roman" w:cs="Times New Roman" w:eastAsia="Times New Roman" w:hAnsi="Times New Roman"/>
          <w:sz w:val="21"/>
          <w:szCs w:val="21"/>
          <w:color w:val="auto"/>
        </w:rPr>
        <w:t>”), which Pre-Notice shall not contain any information (including, without limitation, material, non-public information) other than: (A) if the proposed Offer Notice (as defined below) constitutes or contains material, non-public information, a statement asking whether the Investor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two</w:t>
      </w:r>
    </w:p>
    <w:p>
      <w:pPr>
        <w:spacing w:after="0" w:line="6" w:lineRule="exact"/>
        <w:rPr>
          <w:rFonts w:ascii="Times New Roman" w:cs="Times New Roman" w:eastAsia="Times New Roman" w:hAnsi="Times New Roman"/>
          <w:sz w:val="21"/>
          <w:szCs w:val="21"/>
          <w:color w:val="auto"/>
        </w:rPr>
      </w:pPr>
    </w:p>
    <w:p>
      <w:pPr>
        <w:ind w:left="960" w:hanging="304"/>
        <w:spacing w:after="0"/>
        <w:tabs>
          <w:tab w:leader="none" w:pos="96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(or, with respect to any overnight Subsequent Placement, the Overnight Notice Period) after</w:t>
      </w:r>
    </w:p>
    <w:p>
      <w:pPr>
        <w:sectPr>
          <w:pgSz w:w="11900" w:h="16838" w:orient="portrait"/>
          <w:cols w:equalWidth="0" w:num="1">
            <w:col w:w="10920"/>
          </w:cols>
          <w:pgMar w:left="320" w:top="1440" w:right="659" w:bottom="1440" w:gutter="0" w:footer="0" w:header="0"/>
        </w:sectPr>
      </w:pPr>
    </w:p>
    <w:bookmarkStart w:id="240" w:name="page241"/>
    <w:bookmarkEnd w:id="240"/>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Company’s delivery to such Buyer of such Pre-Notice, and only upon a written request by such Buyer, the Company shall promptly, but no later than one (1) Trading Day after such request, deliver to such Buyer an irrevocable written notice (the “</w:t>
      </w:r>
      <w:r>
        <w:rPr>
          <w:rFonts w:ascii="Times New Roman" w:cs="Times New Roman" w:eastAsia="Times New Roman" w:hAnsi="Times New Roman"/>
          <w:sz w:val="22"/>
          <w:szCs w:val="22"/>
          <w:b w:val="1"/>
          <w:bCs w:val="1"/>
          <w:color w:val="auto"/>
        </w:rPr>
        <w:t>Offer Notice</w:t>
      </w:r>
      <w:r>
        <w:rPr>
          <w:rFonts w:ascii="Times New Roman" w:cs="Times New Roman" w:eastAsia="Times New Roman" w:hAnsi="Times New Roman"/>
          <w:sz w:val="22"/>
          <w:szCs w:val="22"/>
          <w:color w:val="auto"/>
        </w:rPr>
        <w:t>”) of any proposed or intended issuance or sale or exchange (the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of the securities being offered (the “</w:t>
      </w:r>
      <w:r>
        <w:rPr>
          <w:rFonts w:ascii="Times New Roman" w:cs="Times New Roman" w:eastAsia="Times New Roman" w:hAnsi="Times New Roman"/>
          <w:sz w:val="22"/>
          <w:szCs w:val="22"/>
          <w:b w:val="1"/>
          <w:bCs w:val="1"/>
          <w:color w:val="auto"/>
        </w:rPr>
        <w:t>Offered Securities</w:t>
      </w:r>
      <w:r>
        <w:rPr>
          <w:rFonts w:ascii="Times New Roman" w:cs="Times New Roman" w:eastAsia="Times New Roman" w:hAnsi="Times New Roman"/>
          <w:sz w:val="22"/>
          <w:szCs w:val="22"/>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(each an “</w:t>
      </w:r>
      <w:r>
        <w:rPr>
          <w:rFonts w:ascii="Times New Roman" w:cs="Times New Roman" w:eastAsia="Times New Roman" w:hAnsi="Times New Roman"/>
          <w:sz w:val="22"/>
          <w:szCs w:val="22"/>
          <w:b w:val="1"/>
          <w:bCs w:val="1"/>
          <w:color w:val="auto"/>
        </w:rPr>
        <w:t>Offeree</w:t>
      </w:r>
      <w:r>
        <w:rPr>
          <w:rFonts w:ascii="Times New Roman" w:cs="Times New Roman" w:eastAsia="Times New Roman" w:hAnsi="Times New Roman"/>
          <w:sz w:val="22"/>
          <w:szCs w:val="22"/>
          <w:color w:val="auto"/>
        </w:rPr>
        <w:t xml:space="preserve">”) (D) offer to issue and sell to or exchange with such Buyer in accordance with the terms of the Offer such Buyer’s pro rata portion of 10% of the Offered Securities, provided that the number of Offered Securities which such Buyer shall have the right to subscribe for under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shall be (x) based on such Buyer’s pro rata portion of the aggregate original principal amount of the Notes purchased hereunder by all Buyers (the “</w:t>
      </w:r>
      <w:r>
        <w:rPr>
          <w:rFonts w:ascii="Times New Roman" w:cs="Times New Roman" w:eastAsia="Times New Roman" w:hAnsi="Times New Roman"/>
          <w:sz w:val="22"/>
          <w:szCs w:val="22"/>
          <w:b w:val="1"/>
          <w:bCs w:val="1"/>
          <w:color w:val="auto"/>
        </w:rPr>
        <w:t>Basic Amount</w:t>
      </w:r>
      <w:r>
        <w:rPr>
          <w:rFonts w:ascii="Times New Roman" w:cs="Times New Roman" w:eastAsia="Times New Roman" w:hAnsi="Times New Roman"/>
          <w:sz w:val="22"/>
          <w:szCs w:val="22"/>
          <w:color w:val="auto"/>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cs="Times New Roman" w:eastAsia="Times New Roman" w:hAnsi="Times New Roman"/>
          <w:sz w:val="22"/>
          <w:szCs w:val="22"/>
          <w:b w:val="1"/>
          <w:bCs w:val="1"/>
          <w:color w:val="auto"/>
        </w:rPr>
        <w:t>Undersubscription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4"/>
        <w:spacing w:after="0" w:line="251" w:lineRule="auto"/>
        <w:tabs>
          <w:tab w:leader="none" w:pos="129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accept an Offer, in whole or in part, such Buyer must deliver a written notice to the Company prior to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Business Day (or, with respect to any overnight Subsequent Placement, the Overnight Notice Period) after such Buyer’s receipt of the Offer Notice (the “</w:t>
      </w:r>
      <w:r>
        <w:rPr>
          <w:rFonts w:ascii="Times New Roman" w:cs="Times New Roman" w:eastAsia="Times New Roman" w:hAnsi="Times New Roman"/>
          <w:sz w:val="21"/>
          <w:szCs w:val="21"/>
          <w:b w:val="1"/>
          <w:bCs w:val="1"/>
          <w:color w:val="auto"/>
        </w:rPr>
        <w:t>Offer Period</w:t>
      </w:r>
      <w:r>
        <w:rPr>
          <w:rFonts w:ascii="Times New Roman" w:cs="Times New Roman" w:eastAsia="Times New Roman" w:hAnsi="Times New Roman"/>
          <w:sz w:val="21"/>
          <w:szCs w:val="21"/>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 w:cs="Times New Roman" w:eastAsia="Times New Roman" w:hAnsi="Times New Roman"/>
          <w:sz w:val="21"/>
          <w:szCs w:val="21"/>
          <w:b w:val="1"/>
          <w:b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Acceptance</w:t>
      </w:r>
      <w:r>
        <w:rPr>
          <w:rFonts w:ascii="Times New Roman" w:cs="Times New Roman" w:eastAsia="Times New Roman" w:hAnsi="Times New Roman"/>
          <w:sz w:val="21"/>
          <w:szCs w:val="21"/>
          <w:color w:val="auto"/>
        </w:rPr>
        <w:t>”). If the Basic Amounts subscribed for by all Buyers are less than the total of all of the Basic Amounts,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cs="Times New Roman" w:eastAsia="Times New Roman" w:hAnsi="Times New Roman"/>
          <w:sz w:val="21"/>
          <w:szCs w:val="21"/>
          <w:b w:val="1"/>
          <w:bCs w:val="1"/>
          <w:color w:val="auto"/>
        </w:rPr>
        <w:t>Available Undersubscription Amount</w:t>
      </w:r>
      <w:r>
        <w:rPr>
          <w:rFonts w:ascii="Times New Roman" w:cs="Times New Roman" w:eastAsia="Times New Roman" w:hAnsi="Times New Roman"/>
          <w:sz w:val="21"/>
          <w:szCs w:val="21"/>
          <w:color w:val="auto"/>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(or, with respect to any overnight Subsequent Placement, after the Overnight Notice Period) after such Buyer’s receipt of such new Offer Notice.</w:t>
      </w:r>
    </w:p>
    <w:p>
      <w:pPr>
        <w:spacing w:after="0" w:line="179" w:lineRule="exact"/>
        <w:rPr>
          <w:rFonts w:ascii="Times New Roman" w:cs="Times New Roman" w:eastAsia="Times New Roman" w:hAnsi="Times New Roman"/>
          <w:sz w:val="21"/>
          <w:szCs w:val="21"/>
          <w:color w:val="auto"/>
        </w:rPr>
      </w:pPr>
    </w:p>
    <w:p>
      <w:pPr>
        <w:ind w:firstLine="644"/>
        <w:spacing w:after="0" w:line="271"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five (5) Business Days from the expiration of the Offer Period above (A) to offer, issue, sell or exchange all or any</w:t>
      </w:r>
    </w:p>
    <w:p>
      <w:pPr>
        <w:sectPr>
          <w:pgSz w:w="11900" w:h="16838" w:orient="portrait"/>
          <w:cols w:equalWidth="0" w:num="1">
            <w:col w:w="10260"/>
          </w:cols>
          <w:pgMar w:left="980" w:top="1440" w:right="659" w:bottom="1440" w:gutter="0" w:footer="0" w:header="0"/>
        </w:sectPr>
      </w:pPr>
    </w:p>
    <w:bookmarkStart w:id="241" w:name="page242"/>
    <w:bookmarkEnd w:id="241"/>
    <w:p>
      <w:pPr>
        <w:spacing w:after="0" w:line="194"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2"/>
          <w:szCs w:val="22"/>
          <w:color w:val="auto"/>
        </w:rPr>
        <w:t>part of such Offered Securities as to which a Notice of Acceptance has not been given by a Buyer (the “</w:t>
      </w:r>
      <w:r>
        <w:rPr>
          <w:rFonts w:ascii="Times New Roman" w:cs="Times New Roman" w:eastAsia="Times New Roman" w:hAnsi="Times New Roman"/>
          <w:sz w:val="22"/>
          <w:szCs w:val="22"/>
          <w:b w:val="1"/>
          <w:bCs w:val="1"/>
          <w:color w:val="auto"/>
        </w:rPr>
        <w:t>Refused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pursuant to a definitive agreement(s) (the “</w:t>
      </w:r>
      <w:r>
        <w:rPr>
          <w:rFonts w:ascii="Times New Roman" w:cs="Times New Roman" w:eastAsia="Times New Roman" w:hAnsi="Times New Roman"/>
          <w:sz w:val="22"/>
          <w:szCs w:val="22"/>
          <w:b w:val="1"/>
          <w:bCs w:val="1"/>
          <w:color w:val="auto"/>
        </w:rPr>
        <w:t>Subsequent Placement Agreement</w:t>
      </w:r>
      <w:r>
        <w:rPr>
          <w:rFonts w:ascii="Times New Roman" w:cs="Times New Roman" w:eastAsia="Times New Roman" w:hAnsi="Times New Roman"/>
          <w:sz w:val="22"/>
          <w:szCs w:val="22"/>
          <w:color w:val="auto"/>
        </w:rPr>
        <w:t>”), but only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Report of Foreign Issuer on Form 6-K with such Subsequent Placement Agreement and any documents contemplated therein filed as exhibits thereto unless the Company determines it in good faith to be immaterial and represents in writing (which may be an email) to the Buyer that such Buyer no longer possesses any material nonpublic information with respect to such Subsequent Placement.</w:t>
      </w:r>
    </w:p>
    <w:p>
      <w:pPr>
        <w:spacing w:after="0" w:line="181" w:lineRule="exact"/>
        <w:rPr>
          <w:sz w:val="20"/>
          <w:szCs w:val="20"/>
          <w:color w:val="auto"/>
        </w:rPr>
      </w:pPr>
    </w:p>
    <w:p>
      <w:pPr>
        <w:jc w:val="both"/>
        <w:ind w:left="4" w:firstLine="644"/>
        <w:spacing w:after="0" w:line="260" w:lineRule="auto"/>
        <w:tabs>
          <w:tab w:leader="none" w:pos="1288"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 Company shall propose to sell less than all the Refused Securities (any such sale to be in the manner and on the terms specified in </w:t>
      </w:r>
      <w:r>
        <w:rPr>
          <w:rFonts w:ascii="Times New Roman" w:cs="Times New Roman" w:eastAsia="Times New Roman" w:hAnsi="Times New Roman"/>
          <w:sz w:val="21"/>
          <w:szCs w:val="21"/>
          <w:u w:val="single" w:color="auto"/>
          <w:color w:val="auto"/>
        </w:rPr>
        <w:t>Section 4(r)(iii)</w:t>
      </w:r>
      <w:r>
        <w:rPr>
          <w:rFonts w:ascii="Times New Roman" w:cs="Times New Roman" w:eastAsia="Times New Roman" w:hAnsi="Times New Roman"/>
          <w:sz w:val="21"/>
          <w:szCs w:val="21"/>
          <w:color w:val="auto"/>
        </w:rPr>
        <w:t xml:space="preserve">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w:t>
      </w:r>
      <w:r>
        <w:rPr>
          <w:rFonts w:ascii="Times New Roman" w:cs="Times New Roman" w:eastAsia="Times New Roman" w:hAnsi="Times New Roman"/>
          <w:sz w:val="21"/>
          <w:szCs w:val="21"/>
          <w:u w:val="single" w:color="auto"/>
          <w:color w:val="auto"/>
        </w:rPr>
        <w:t>Section 4(r)(ii)</w:t>
      </w:r>
      <w:r>
        <w:rPr>
          <w:rFonts w:ascii="Times New Roman" w:cs="Times New Roman" w:eastAsia="Times New Roman" w:hAnsi="Times New Roman"/>
          <w:sz w:val="21"/>
          <w:szCs w:val="21"/>
          <w:color w:val="auto"/>
        </w:rPr>
        <w:t xml:space="preserve"> above multiplied by a fraction, (i) the numerator of which shall be the number or amount of Offered Securities the Company actually proposes to issue, sell or exchange (including Offered Securities to be issued or sold to Buyers pursuant to this </w:t>
      </w:r>
      <w:r>
        <w:rPr>
          <w:rFonts w:ascii="Times New Roman" w:cs="Times New Roman" w:eastAsia="Times New Roman" w:hAnsi="Times New Roman"/>
          <w:sz w:val="21"/>
          <w:szCs w:val="21"/>
          <w:u w:val="single" w:color="auto"/>
          <w:color w:val="auto"/>
        </w:rPr>
        <w:t>Section 4(r)</w:t>
      </w:r>
      <w:r>
        <w:rPr>
          <w:rFonts w:ascii="Times New Roman" w:cs="Times New Roman" w:eastAsia="Times New Roman" w:hAnsi="Times New Roman"/>
          <w:sz w:val="21"/>
          <w:szCs w:val="21"/>
          <w:color w:val="auto"/>
        </w:rPr>
        <w:t xml:space="preserve"> prior to such reduction) and</w:t>
      </w:r>
    </w:p>
    <w:p>
      <w:pPr>
        <w:spacing w:after="0" w:line="3" w:lineRule="exact"/>
        <w:rPr>
          <w:rFonts w:ascii="Times New Roman" w:cs="Times New Roman" w:eastAsia="Times New Roman" w:hAnsi="Times New Roman"/>
          <w:sz w:val="21"/>
          <w:szCs w:val="21"/>
          <w:color w:val="auto"/>
        </w:rPr>
      </w:pPr>
    </w:p>
    <w:p>
      <w:pPr>
        <w:jc w:val="both"/>
        <w:ind w:left="4" w:hanging="4"/>
        <w:spacing w:after="0" w:line="248" w:lineRule="auto"/>
        <w:tabs>
          <w:tab w:leader="none" w:pos="3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w:t>
      </w:r>
      <w:r>
        <w:rPr>
          <w:rFonts w:ascii="Times New Roman" w:cs="Times New Roman" w:eastAsia="Times New Roman" w:hAnsi="Times New Roman"/>
          <w:sz w:val="22"/>
          <w:szCs w:val="22"/>
          <w:u w:val="single" w:color="auto"/>
          <w:color w:val="auto"/>
        </w:rPr>
        <w:t>Section 4(r)(i)</w:t>
      </w:r>
      <w:r>
        <w:rPr>
          <w:rFonts w:ascii="Times New Roman" w:cs="Times New Roman" w:eastAsia="Times New Roman" w:hAnsi="Times New Roman"/>
          <w:sz w:val="22"/>
          <w:szCs w:val="22"/>
          <w:color w:val="auto"/>
        </w:rPr>
        <w:t xml:space="preserve"> above.</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95"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w:t>
      </w:r>
      <w:r>
        <w:rPr>
          <w:rFonts w:ascii="Times New Roman" w:cs="Times New Roman" w:eastAsia="Times New Roman" w:hAnsi="Times New Roman"/>
          <w:sz w:val="22"/>
          <w:szCs w:val="22"/>
          <w:u w:val="single" w:color="auto"/>
          <w:color w:val="auto"/>
        </w:rPr>
        <w:t>Section 4(r)(iv)</w:t>
      </w:r>
      <w:r>
        <w:rPr>
          <w:rFonts w:ascii="Times New Roman" w:cs="Times New Roman" w:eastAsia="Times New Roman" w:hAnsi="Times New Roman"/>
          <w:sz w:val="22"/>
          <w:szCs w:val="22"/>
          <w:color w:val="auto"/>
        </w:rPr>
        <w:t xml:space="preserve">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93"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288"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Offered Securities not acquired by a Buyer or other Persons in accordance with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may not be issued, sold or exchanged until they are again offered to such Buyer under the procedures specified in this Agreement.</w:t>
      </w:r>
    </w:p>
    <w:p>
      <w:pPr>
        <w:sectPr>
          <w:pgSz w:w="11900" w:h="16838" w:orient="portrait"/>
          <w:cols w:equalWidth="0" w:num="1">
            <w:col w:w="10264"/>
          </w:cols>
          <w:pgMar w:left="976" w:top="1440" w:right="659" w:bottom="1440" w:gutter="0" w:footer="0" w:header="0"/>
        </w:sectPr>
      </w:pPr>
    </w:p>
    <w:bookmarkStart w:id="242" w:name="page243"/>
    <w:bookmarkEnd w:id="242"/>
    <w:p>
      <w:pPr>
        <w:spacing w:after="0" w:line="198" w:lineRule="exact"/>
        <w:rPr>
          <w:sz w:val="20"/>
          <w:szCs w:val="20"/>
          <w:color w:val="auto"/>
        </w:rPr>
      </w:pPr>
    </w:p>
    <w:p>
      <w:pPr>
        <w:jc w:val="both"/>
        <w:ind w:left="5" w:firstLine="644"/>
        <w:spacing w:after="0" w:line="249" w:lineRule="auto"/>
        <w:tabs>
          <w:tab w:leader="none" w:pos="1295"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Buyer agree that if any Buyer elects to participate in the Offer, (x) neither the Subsequent Placement Agreement with respect to such Offer nor any other transaction documents related thereto (collectively, the “</w:t>
      </w:r>
      <w:r>
        <w:rPr>
          <w:rFonts w:ascii="Times New Roman" w:cs="Times New Roman" w:eastAsia="Times New Roman" w:hAnsi="Times New Roman"/>
          <w:sz w:val="22"/>
          <w:szCs w:val="22"/>
          <w:b w:val="1"/>
          <w:bCs w:val="1"/>
          <w:color w:val="auto"/>
        </w:rPr>
        <w:t>Subsequent Placement Documents</w:t>
      </w:r>
      <w:r>
        <w:rPr>
          <w:rFonts w:ascii="Times New Roman" w:cs="Times New Roman" w:eastAsia="Times New Roman" w:hAnsi="Times New Roman"/>
          <w:sz w:val="22"/>
          <w:szCs w:val="22"/>
          <w:color w:val="auto"/>
        </w:rPr>
        <w:t>”) shall include any term or provision whereby such Buyer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 and (y) representation and warranties of an Investor in the Subsequent Placement Documents shall not be more restrictive than those of the Buyers in this Agreement (other than such changes as necessary to comply with applicable law, rules and regulations, the manner of sale of such security in such Subsequent Placement and/or the type of such security to be sold in such Subsequent Placement).</w:t>
      </w:r>
    </w:p>
    <w:p>
      <w:pPr>
        <w:spacing w:after="0" w:line="183" w:lineRule="exact"/>
        <w:rPr>
          <w:rFonts w:ascii="Times New Roman" w:cs="Times New Roman" w:eastAsia="Times New Roman" w:hAnsi="Times New Roman"/>
          <w:sz w:val="22"/>
          <w:szCs w:val="22"/>
          <w:color w:val="auto"/>
        </w:rPr>
      </w:pPr>
    </w:p>
    <w:p>
      <w:pPr>
        <w:jc w:val="both"/>
        <w:ind w:left="5" w:firstLine="644"/>
        <w:spacing w:after="0" w:line="243" w:lineRule="auto"/>
        <w:tabs>
          <w:tab w:leader="none" w:pos="130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and unless otherwise agreed to by such Buyer or if the Company determines it in good faith to be immaterial and represents in writing (which may be an email) to the Buyer that such Buyer no longer possesses any material nonpublic information with respect to such Subsequent Placement,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delivery of the Offer Notice. If by such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The Company shall not be permitted to deliver more than one such Offer Notice to such Buyer in any sixty (60) day period, except as expressly contemplated by the last sentence of </w:t>
      </w:r>
      <w:r>
        <w:rPr>
          <w:rFonts w:ascii="Times New Roman" w:cs="Times New Roman" w:eastAsia="Times New Roman" w:hAnsi="Times New Roman"/>
          <w:sz w:val="22"/>
          <w:szCs w:val="22"/>
          <w:u w:val="single" w:color="auto"/>
          <w:color w:val="auto"/>
        </w:rPr>
        <w:t>Section 4(r)(ii)</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5" w:firstLine="644"/>
        <w:spacing w:after="0" w:line="257" w:lineRule="auto"/>
        <w:tabs>
          <w:tab w:leader="none" w:pos="1289"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restrictions contained in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shall not apply in connection with the issuance of any Excluded Securities. The Company shall not circumvent the provisions of this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 xml:space="preserve"> by providing terms or conditions to one Buyer that are not provided to all.</w:t>
      </w:r>
    </w:p>
    <w:p>
      <w:pPr>
        <w:spacing w:after="0" w:line="172" w:lineRule="exact"/>
        <w:rPr>
          <w:rFonts w:ascii="Times New Roman" w:cs="Times New Roman" w:eastAsia="Times New Roman" w:hAnsi="Times New Roman"/>
          <w:sz w:val="22"/>
          <w:szCs w:val="22"/>
          <w:color w:val="auto"/>
        </w:rPr>
      </w:pPr>
    </w:p>
    <w:p>
      <w:pPr>
        <w:jc w:val="both"/>
        <w:ind w:left="-655" w:firstLine="655"/>
        <w:spacing w:after="0" w:line="268" w:lineRule="auto"/>
        <w:tabs>
          <w:tab w:leader="none" w:pos="63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Dilutive Issuances.</w:t>
      </w:r>
      <w:r>
        <w:rPr>
          <w:rFonts w:ascii="Times New Roman" w:cs="Times New Roman" w:eastAsia="Times New Roman" w:hAnsi="Times New Roman"/>
          <w:sz w:val="21"/>
          <w:szCs w:val="21"/>
          <w:color w:val="auto"/>
        </w:rPr>
        <w:t xml:space="preserve"> During the Covenant Period, the Company shall not, in any manner, enter into or affect any Dilutive Issuance (as defined in the Notes) if the effect of such Dilutive Issuance is to cause the Company to be required to issue upon conversion of any Notes any Ordinary Shares in excess of that number of Ordinary Shares which the Company may issue upon conversion of the Notes without breaching the Company’s obligations under the rules or regulations of the Principal Market. During the Covenant Period, the Company shall not consummate any Subsequent Placement at a</w:t>
      </w:r>
    </w:p>
    <w:p>
      <w:pPr>
        <w:sectPr>
          <w:pgSz w:w="11900" w:h="16838" w:orient="portrait"/>
          <w:cols w:equalWidth="0" w:num="1">
            <w:col w:w="10265"/>
          </w:cols>
          <w:pgMar w:left="975" w:top="1440" w:right="659" w:bottom="1440" w:gutter="0" w:footer="0" w:header="0"/>
        </w:sectPr>
      </w:pPr>
    </w:p>
    <w:bookmarkStart w:id="243" w:name="page244"/>
    <w:bookmarkEnd w:id="243"/>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New Issuance Price (as defined in the Notes) less than 120% of the Floor Price. </w:t>
      </w:r>
      <w:r>
        <w:rPr>
          <w:rFonts w:ascii="Times New Roman" w:cs="Times New Roman" w:eastAsia="Times New Roman" w:hAnsi="Times New Roman"/>
          <w:sz w:val="22"/>
          <w:szCs w:val="22"/>
          <w:u w:val="single" w:color="auto"/>
          <w:color w:val="auto"/>
        </w:rPr>
        <w:t>Passive Foreign Investment Company</w:t>
      </w:r>
      <w:r>
        <w:rPr>
          <w:rFonts w:ascii="Times New Roman" w:cs="Times New Roman" w:eastAsia="Times New Roman" w:hAnsi="Times New Roman"/>
          <w:sz w:val="22"/>
          <w:szCs w:val="22"/>
          <w:color w:val="auto"/>
        </w:rPr>
        <w:t>. During the Covenant Period,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6" w:lineRule="exact"/>
        <w:rPr>
          <w:sz w:val="20"/>
          <w:szCs w:val="20"/>
          <w:color w:val="auto"/>
        </w:rPr>
      </w:pPr>
    </w:p>
    <w:p>
      <w:pPr>
        <w:jc w:val="both"/>
        <w:ind w:firstLine="655"/>
        <w:spacing w:after="0" w:line="257" w:lineRule="auto"/>
        <w:tabs>
          <w:tab w:leader="none" w:pos="129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So long as any of the Notes remain outstanding, the Company shall not be party to any Fundamental Transaction (as defined in the Notes) unless the Company is in compliance with the applicable provisions governing Fundamental Transactions set forth in the Notes.</w:t>
      </w:r>
    </w:p>
    <w:p>
      <w:pPr>
        <w:spacing w:after="0" w:line="37" w:lineRule="exact"/>
        <w:rPr>
          <w:rFonts w:ascii="Times New Roman" w:cs="Times New Roman" w:eastAsia="Times New Roman" w:hAnsi="Times New Roman"/>
          <w:sz w:val="22"/>
          <w:szCs w:val="22"/>
          <w:color w:val="auto"/>
        </w:rPr>
      </w:pPr>
    </w:p>
    <w:p>
      <w:pPr>
        <w:jc w:val="both"/>
        <w:ind w:firstLine="655"/>
        <w:spacing w:after="0" w:line="265" w:lineRule="auto"/>
        <w:tabs>
          <w:tab w:leader="none" w:pos="129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 Procedures</w:t>
      </w:r>
      <w:r>
        <w:rPr>
          <w:rFonts w:ascii="Times New Roman" w:cs="Times New Roman" w:eastAsia="Times New Roman" w:hAnsi="Times New Roman"/>
          <w:sz w:val="21"/>
          <w:szCs w:val="21"/>
          <w:color w:val="auto"/>
        </w:rPr>
        <w:t>. The form of Conversion Notice (as defined in the Notes) included in the Notes set forth the totality of the procedures required of the Buyers in order to convert the Notes. No legal opinion, other information or instructions shall be required of the Buyers to convert their Notes. The Company shall honor conversions of the Notes and shall deliver the Conversion Shares in accordance with the terms, conditions and time periods set forth in the Notes. Without limiting the preceding sentences, no ink-original Conversion Notice shall be required, nor shall any medallion guarantee (or other type of guarantee or notarization) of any Conversion Notice form be required in order to convert the Notes..</w:t>
      </w:r>
    </w:p>
    <w:p>
      <w:pPr>
        <w:spacing w:after="0" w:line="168" w:lineRule="exact"/>
        <w:rPr>
          <w:rFonts w:ascii="Times New Roman" w:cs="Times New Roman" w:eastAsia="Times New Roman" w:hAnsi="Times New Roman"/>
          <w:sz w:val="21"/>
          <w:szCs w:val="21"/>
          <w:color w:val="auto"/>
        </w:rPr>
      </w:pPr>
    </w:p>
    <w:p>
      <w:pPr>
        <w:ind w:firstLine="655"/>
        <w:spacing w:after="0" w:line="271" w:lineRule="auto"/>
        <w:tabs>
          <w:tab w:leader="none" w:pos="128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M</w:t>
      </w:r>
      <w:r>
        <w:rPr>
          <w:rFonts w:ascii="Times New Roman" w:cs="Times New Roman" w:eastAsia="Times New Roman" w:hAnsi="Times New Roman"/>
          <w:sz w:val="22"/>
          <w:szCs w:val="22"/>
          <w:color w:val="auto"/>
        </w:rPr>
        <w:t>. The Company will not take any action prohibited by Regulation M under the 1934 Act, in connection with the distribution of the Securities contemplated hereby.</w:t>
      </w:r>
    </w:p>
    <w:p>
      <w:pPr>
        <w:spacing w:after="0" w:line="157" w:lineRule="exact"/>
        <w:rPr>
          <w:rFonts w:ascii="Times New Roman" w:cs="Times New Roman" w:eastAsia="Times New Roman" w:hAnsi="Times New Roman"/>
          <w:sz w:val="22"/>
          <w:szCs w:val="22"/>
          <w:color w:val="auto"/>
        </w:rPr>
      </w:pPr>
    </w:p>
    <w:p>
      <w:pPr>
        <w:jc w:val="both"/>
        <w:ind w:firstLine="655"/>
        <w:spacing w:after="0" w:line="259" w:lineRule="auto"/>
        <w:tabs>
          <w:tab w:leader="none" w:pos="129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Net Short Position</w:t>
      </w:r>
      <w:r>
        <w:rPr>
          <w:rFonts w:ascii="Times New Roman" w:cs="Times New Roman" w:eastAsia="Times New Roman" w:hAnsi="Times New Roman"/>
          <w:sz w:val="21"/>
          <w:szCs w:val="21"/>
          <w:color w:val="auto"/>
        </w:rPr>
        <w:t>. Each Buyer hereby agrees solely with the Company, severally and not jointly, and not with any other Buyer, for so long as such Buyer owns any Notes, such Buyer shall not maintain a Net Short Position (as defined below). For purposes hereof, a “</w:t>
      </w:r>
      <w:r>
        <w:rPr>
          <w:rFonts w:ascii="Times New Roman" w:cs="Times New Roman" w:eastAsia="Times New Roman" w:hAnsi="Times New Roman"/>
          <w:sz w:val="21"/>
          <w:szCs w:val="21"/>
          <w:b w:val="1"/>
          <w:bCs w:val="1"/>
          <w:color w:val="auto"/>
        </w:rPr>
        <w:t>Net Short Position</w:t>
      </w:r>
      <w:r>
        <w:rPr>
          <w:rFonts w:ascii="Times New Roman" w:cs="Times New Roman" w:eastAsia="Times New Roman" w:hAnsi="Times New Roman"/>
          <w:sz w:val="21"/>
          <w:szCs w:val="21"/>
          <w:color w:val="auto"/>
        </w:rPr>
        <w:t>” by a person means a position whereby such person has executed one or more sales of Ordinary Shares that is marked as a short sale (but not including any sale marked “short exempt”) and that is executed at a time when such Buyer has no equivalent offsetting long position in the Ordinary Shares (or is deemed to have a long position hereunder or otherwise in accordance with Regulation SHO of the 1934 Act); provided, that, for purposes of such calculations, any short sales either (x) consummated at a price greater than or equal to the Conversion Price (as defined in the Notes), (y) that is a result of a bona-fide trading error on behalf of such Buyer (or its affiliates) or (z) that would otherwise be marked as a “long” sale, but for the occurrence of a Conversion Failure (as defined in the Notes), an Equity Conditions Failure (as defined in the Notes) or any other breach by the Company (or its affiliates or agents, including, without limitation, the transfer agent) of any Transaction Document, in each case, shall be excluded from such calculations. For purposes of determining whether a Buyer has an equivalent offsetting “long” position in the Ordinary Shares, (A) all Ordinary Shares that are owned by such Buyer shall be deemed held “long” by such Buyer, (B) at any time a Conversion Notice is delivered by such Buyer to the Company, any Ordinary Shares issued or issuable to such Buyer (or its designee, if applicable) in connection therewith shall be deemed held “long” by such Buyer from and after the date of such Conversion Notice until such time as such Buyer shall no longer beneficially own such Ordinary Shares, and (C) at any other time the Company is required (or has elected (or is deemed to have elected)) to issue Ordinary Shares to such Buyer pursuant to the</w:t>
      </w:r>
    </w:p>
    <w:p>
      <w:pPr>
        <w:sectPr>
          <w:pgSz w:w="11900" w:h="16838" w:orient="portrait"/>
          <w:cols w:equalWidth="0" w:num="1">
            <w:col w:w="10920"/>
          </w:cols>
          <w:pgMar w:left="320" w:top="1440" w:right="659" w:bottom="1440" w:gutter="0" w:footer="0" w:header="0"/>
        </w:sectPr>
      </w:pPr>
    </w:p>
    <w:bookmarkStart w:id="244" w:name="page245"/>
    <w:bookmarkEnd w:id="244"/>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terms of the Notes, any Ordinary Shares issued or issuable to such Buyer (or its designee, if applicable) in connection therewith shall be deemed held “long” by such Buyer from and after the deadline the Company is required to deliver such applicable Ordinary Shares pursuant to such Conversion Notice, until such time as such Buyer shall no longer beneficially own such Ordinary Shares.</w:t>
      </w:r>
    </w:p>
    <w:p>
      <w:pPr>
        <w:spacing w:after="0" w:line="176" w:lineRule="exact"/>
        <w:rPr>
          <w:sz w:val="20"/>
          <w:szCs w:val="20"/>
          <w:color w:val="auto"/>
        </w:rPr>
      </w:pPr>
    </w:p>
    <w:p>
      <w:pPr>
        <w:jc w:val="both"/>
        <w:ind w:firstLine="655"/>
        <w:spacing w:after="0" w:line="252" w:lineRule="auto"/>
        <w:tabs>
          <w:tab w:leader="none" w:pos="129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Documents</w:t>
      </w:r>
      <w:r>
        <w:rPr>
          <w:rFonts w:ascii="Times New Roman" w:cs="Times New Roman" w:eastAsia="Times New Roman" w:hAnsi="Times New Roman"/>
          <w:sz w:val="22"/>
          <w:szCs w:val="22"/>
          <w:color w:val="auto"/>
        </w:rPr>
        <w:t xml:space="preserve">. On or prior to fourteen (14) calendar days after each Closing Date, the Company agrees to deliver, or cause to be delivered, to each Buyer and Kelley Drye &amp; Warren LLP a complete closing set of the executed Transaction Documents, Securities and any other document required to be delivered to any party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or otherwise.</w:t>
      </w:r>
    </w:p>
    <w:p>
      <w:pPr>
        <w:spacing w:after="0" w:line="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REGISTER; TRANSFER AGENT INSTRUCTIONS; LEGEND. </w:t>
      </w:r>
      <w:r>
        <w:rPr>
          <w:rFonts w:ascii="Times New Roman" w:cs="Times New Roman" w:eastAsia="Times New Roman" w:hAnsi="Times New Roman"/>
          <w:sz w:val="28"/>
          <w:szCs w:val="28"/>
          <w:b w:val="1"/>
          <w:bCs w:val="1"/>
          <w:color w:val="auto"/>
          <w:vertAlign w:val="superscript"/>
        </w:rPr>
        <w:t>1</w:t>
      </w:r>
    </w:p>
    <w:p>
      <w:pPr>
        <w:spacing w:after="0" w:line="192" w:lineRule="exact"/>
        <w:rPr>
          <w:rFonts w:ascii="Times New Roman" w:cs="Times New Roman" w:eastAsia="Times New Roman" w:hAnsi="Times New Roman"/>
          <w:sz w:val="22"/>
          <w:szCs w:val="22"/>
          <w:b w:val="1"/>
          <w:bCs w:val="1"/>
          <w:color w:val="auto"/>
        </w:rPr>
      </w:pPr>
    </w:p>
    <w:p>
      <w:pPr>
        <w:jc w:val="both"/>
        <w:ind w:firstLine="655"/>
        <w:spacing w:after="0" w:line="249" w:lineRule="auto"/>
        <w:tabs>
          <w:tab w:leader="none" w:pos="1292"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Company (or the Trustee with respect to the Notes in accordance with the terms of the Indenture and the Supplemental Indenture, as applicable) shall maintain at its principal executive offices (or such other office or agency of the Company as it may designate by notice to each holder of Securities), a register for the Notes in which the Company (or the Trustee, as applicable) shall record the name and address of the Person in whose name the Notes have been issued (including the name and address of each transferee), the principal amount of the Notes held by such Person and the number of Conversion Shares issuable pursuant to the terms of the Notes held by such Person. The Company (or the Trustee, as applicable) shall keep the register open and available at all times during business hours for inspection of any Buyer or its legal representatives.</w:t>
      </w:r>
    </w:p>
    <w:p>
      <w:pPr>
        <w:spacing w:after="0" w:line="195" w:lineRule="exact"/>
        <w:rPr>
          <w:rFonts w:ascii="Times New Roman" w:cs="Times New Roman" w:eastAsia="Times New Roman" w:hAnsi="Times New Roman"/>
          <w:sz w:val="22"/>
          <w:szCs w:val="22"/>
          <w:color w:val="auto"/>
        </w:rPr>
      </w:pPr>
    </w:p>
    <w:p>
      <w:pPr>
        <w:jc w:val="both"/>
        <w:ind w:firstLine="655"/>
        <w:spacing w:after="0" w:line="260" w:lineRule="auto"/>
        <w:tabs>
          <w:tab w:leader="none" w:pos="1290"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Agent Instructions</w:t>
      </w:r>
      <w:r>
        <w:rPr>
          <w:rFonts w:ascii="Times New Roman" w:cs="Times New Roman" w:eastAsia="Times New Roman" w:hAnsi="Times New Roman"/>
          <w:sz w:val="21"/>
          <w:szCs w:val="21"/>
          <w:color w:val="auto"/>
        </w:rPr>
        <w:t>. The Company shall issue irrevocable instructions to its transfer agent and any subsequent transfer agent (as applicable, the “</w:t>
      </w:r>
      <w:r>
        <w:rPr>
          <w:rFonts w:ascii="Times New Roman" w:cs="Times New Roman" w:eastAsia="Times New Roman" w:hAnsi="Times New Roman"/>
          <w:sz w:val="21"/>
          <w:szCs w:val="21"/>
          <w:b w:val="1"/>
          <w:bCs w:val="1"/>
          <w:color w:val="auto"/>
        </w:rPr>
        <w:t>Transfer Agent</w:t>
      </w:r>
      <w:r>
        <w:rPr>
          <w:rFonts w:ascii="Times New Roman" w:cs="Times New Roman" w:eastAsia="Times New Roman" w:hAnsi="Times New Roman"/>
          <w:sz w:val="21"/>
          <w:szCs w:val="21"/>
          <w:color w:val="auto"/>
        </w:rPr>
        <w:t>”) in a form acceptable to each of the Buyers (the “</w:t>
      </w:r>
      <w:r>
        <w:rPr>
          <w:rFonts w:ascii="Times New Roman" w:cs="Times New Roman" w:eastAsia="Times New Roman" w:hAnsi="Times New Roman"/>
          <w:sz w:val="21"/>
          <w:szCs w:val="21"/>
          <w:b w:val="1"/>
          <w:bCs w:val="1"/>
          <w:color w:val="auto"/>
        </w:rPr>
        <w:t>Irrevocable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 Agent Instructions</w:t>
      </w:r>
      <w:r>
        <w:rPr>
          <w:rFonts w:ascii="Times New Roman" w:cs="Times New Roman" w:eastAsia="Times New Roman" w:hAnsi="Times New Roman"/>
          <w:sz w:val="21"/>
          <w:szCs w:val="21"/>
          <w:color w:val="auto"/>
        </w:rPr>
        <w:t>”) to issue certificates or credit shares to the applicable balance accounts at The Depository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Trust Company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xml:space="preserve">”), registered in the name of each Buyer or its respective nominee(s), for the Conversion Shares in such amounts as specified from time to time by each Buyer to the Company upon conversion of the Notes. The Company represents and warrants that no instruction other than the Irrevocable Transfer Agent Instructions referred to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5(b)(i)</w:t>
      </w:r>
      <w:r>
        <w:rPr>
          <w:rFonts w:ascii="Times New Roman" w:cs="Times New Roman" w:eastAsia="Times New Roman" w:hAnsi="Times New Roman"/>
          <w:sz w:val="21"/>
          <w:szCs w:val="21"/>
          <w:color w:val="auto"/>
        </w:rPr>
        <w:t xml:space="preserve">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any Securities,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each Buyer. Accordingly, the Company acknowledges that the remedy at law for a breach of its obligations under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will be inadequate and agrees, in the event of a breach or threatened breach by the Company of the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5(b)</w:t>
      </w:r>
      <w:r>
        <w:rPr>
          <w:rFonts w:ascii="Times New Roman" w:cs="Times New Roman" w:eastAsia="Times New Roman" w:hAnsi="Times New Roman"/>
          <w:sz w:val="21"/>
          <w:szCs w:val="21"/>
          <w:color w:val="auto"/>
        </w:rPr>
        <w:t xml:space="preserve"> that each Buyer shall be entitled, in addition to all other available remedies, to an order and/or injunction restraining any breach and requiring immediate issuance and transfer, without the necessity of showing economic loss and</w:t>
      </w:r>
    </w:p>
    <w:p>
      <w:pPr>
        <w:sectPr>
          <w:pgSz w:w="11900" w:h="16838" w:orient="portrait"/>
          <w:cols w:equalWidth="0" w:num="1">
            <w:col w:w="10920"/>
          </w:cols>
          <w:pgMar w:left="320" w:top="1440" w:right="659" w:bottom="1440" w:gutter="0" w:footer="0" w:header="0"/>
        </w:sectPr>
      </w:pPr>
    </w:p>
    <w:bookmarkStart w:id="245" w:name="page246"/>
    <w:bookmarkEnd w:id="24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without any bond or other security being required. The Company shall cause its counsel to issue the legal opinion referred to in the Irrevocable Transfer Agent Instructions, if requested or required, as applicable, by the Transfer Agent, to the Transfer Agent as follows: (i) upon each conversion of the Notes (unless such issuance is covered by a prior legal opinion previously delivered to the Transfer Agent) and (ii) on each date a registration statement with respect to the issuance or resale of any of the Securities is declared effective by the SEC. Any fees (with respect to the transfer agent, counsel to the Company or otherwise) associated with the issuance of such opinion or the removal of any legends on any of the Securities shall be borne by the Company.</w:t>
      </w:r>
    </w:p>
    <w:p>
      <w:pPr>
        <w:spacing w:after="0" w:line="288" w:lineRule="exact"/>
        <w:rPr>
          <w:sz w:val="20"/>
          <w:szCs w:val="20"/>
          <w:color w:val="auto"/>
        </w:rPr>
      </w:pPr>
    </w:p>
    <w:p>
      <w:pPr>
        <w:ind w:left="1300" w:hanging="645"/>
        <w:spacing w:after="0"/>
        <w:tabs>
          <w:tab w:leader="none" w:pos="130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Legends</w:t>
      </w:r>
      <w:r>
        <w:rPr>
          <w:rFonts w:ascii="Times New Roman" w:cs="Times New Roman" w:eastAsia="Times New Roman" w:hAnsi="Times New Roman"/>
          <w:sz w:val="22"/>
          <w:szCs w:val="22"/>
          <w:color w:val="auto"/>
        </w:rPr>
        <w:t>. Certificates and any other instruments evidencing the Securities shall not bear any restrictive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legend.</w:t>
      </w:r>
    </w:p>
    <w:p>
      <w:pPr>
        <w:spacing w:after="0" w:line="195" w:lineRule="exact"/>
        <w:rPr>
          <w:rFonts w:ascii="Times New Roman" w:cs="Times New Roman" w:eastAsia="Times New Roman" w:hAnsi="Times New Roman"/>
          <w:sz w:val="22"/>
          <w:szCs w:val="22"/>
          <w:color w:val="auto"/>
        </w:rPr>
      </w:pPr>
    </w:p>
    <w:p>
      <w:pPr>
        <w:ind w:firstLine="655"/>
        <w:spacing w:after="0" w:line="271" w:lineRule="auto"/>
        <w:tabs>
          <w:tab w:leader="none" w:pos="129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FAST Compliance</w:t>
      </w:r>
      <w:r>
        <w:rPr>
          <w:rFonts w:ascii="Times New Roman" w:cs="Times New Roman" w:eastAsia="Times New Roman" w:hAnsi="Times New Roman"/>
          <w:sz w:val="22"/>
          <w:szCs w:val="22"/>
          <w:color w:val="auto"/>
        </w:rPr>
        <w:t>. While any Notes remain outstanding, the Company shall maintain a transfer agent that participates in the DTC Fast Automated Securities Transfer Program.</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COMPANY’S OBLIGATION TO SELL.</w:t>
      </w:r>
    </w:p>
    <w:p>
      <w:pPr>
        <w:spacing w:after="0" w:line="237" w:lineRule="exact"/>
        <w:rPr>
          <w:rFonts w:ascii="Times New Roman" w:cs="Times New Roman" w:eastAsia="Times New Roman" w:hAnsi="Times New Roman"/>
          <w:sz w:val="22"/>
          <w:szCs w:val="22"/>
          <w:b w:val="1"/>
          <w:bCs w:val="1"/>
          <w:color w:val="auto"/>
        </w:rPr>
      </w:pPr>
    </w:p>
    <w:p>
      <w:pPr>
        <w:jc w:val="both"/>
        <w:ind w:firstLine="655"/>
        <w:spacing w:after="0" w:line="252" w:lineRule="auto"/>
        <w:tabs>
          <w:tab w:leader="none" w:pos="129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hereunder to issue and sell the Initial Notes to each Buyer at the Initial Closing is subject to the satisfaction, at or before the Initial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44"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executed each of the other Transaction Documents to which it is a party and delivered the same to the Company.</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0"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Buyer and each other Buyer shall have delivered to the Company the Initial Purchase Price (less, in the case of any Buyer, the amounts withheld pursuant to </w:t>
      </w:r>
      <w:r>
        <w:rPr>
          <w:rFonts w:ascii="Times New Roman" w:cs="Times New Roman" w:eastAsia="Times New Roman" w:hAnsi="Times New Roman"/>
          <w:sz w:val="22"/>
          <w:szCs w:val="22"/>
          <w:u w:val="single" w:color="auto"/>
          <w:color w:val="auto"/>
        </w:rPr>
        <w:t>Section 4(j)</w:t>
      </w:r>
      <w:r>
        <w:rPr>
          <w:rFonts w:ascii="Times New Roman" w:cs="Times New Roman" w:eastAsia="Times New Roman" w:hAnsi="Times New Roman"/>
          <w:sz w:val="22"/>
          <w:szCs w:val="22"/>
          <w:color w:val="auto"/>
        </w:rPr>
        <w:t>) for the Initial Note being purchased by such Buyer at the Initial Closing by wire transfer of immediately available funds in accordance with the Initial Flow of Funds Letter (as defined below).</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such Buyer shall be true and correct in all material respects as of the date when made and as of the Initial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the Transaction Documents to be performed, satisfied or complied with by such Buyer at or prior to the Initial Closing Date.</w:t>
      </w:r>
    </w:p>
    <w:p>
      <w:pPr>
        <w:spacing w:after="0" w:line="20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Buyer shall have duly executed and delivered to the Company the leak-out agreement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Leak-Out Agreement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5"/>
        <w:spacing w:after="0" w:line="271" w:lineRule="auto"/>
        <w:tabs>
          <w:tab w:leader="none" w:pos="129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hereunder to issue and sell such applicable Additional Notes to each Buyer at such Additional Closing is subject to the satisfaction, at</w:t>
      </w:r>
    </w:p>
    <w:p>
      <w:pPr>
        <w:sectPr>
          <w:pgSz w:w="11900" w:h="16838" w:orient="portrait"/>
          <w:cols w:equalWidth="0" w:num="1">
            <w:col w:w="10920"/>
          </w:cols>
          <w:pgMar w:left="320" w:top="1440" w:right="659" w:bottom="1440" w:gutter="0" w:footer="0" w:header="0"/>
        </w:sectPr>
      </w:pPr>
    </w:p>
    <w:bookmarkStart w:id="246" w:name="page247"/>
    <w:bookmarkEnd w:id="24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or before such applicable Additional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86" w:lineRule="exact"/>
        <w:rPr>
          <w:sz w:val="20"/>
          <w:szCs w:val="20"/>
          <w:color w:val="auto"/>
        </w:rPr>
      </w:pPr>
    </w:p>
    <w:p>
      <w:pPr>
        <w:ind w:left="660" w:firstLine="644"/>
        <w:spacing w:after="0" w:line="271" w:lineRule="auto"/>
        <w:tabs>
          <w:tab w:leader="none" w:pos="1944"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executed each of the other Transaction Documents to which it is a party and delivered the same to the Company.</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0"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Buyer and each other Buyer shall have delivered to the Company the Additional Purchase Price (less, in the case of any Buyer, the amounts withheld pursuant to </w:t>
      </w:r>
      <w:r>
        <w:rPr>
          <w:rFonts w:ascii="Times New Roman" w:cs="Times New Roman" w:eastAsia="Times New Roman" w:hAnsi="Times New Roman"/>
          <w:sz w:val="22"/>
          <w:szCs w:val="22"/>
          <w:u w:val="single" w:color="auto"/>
          <w:color w:val="auto"/>
        </w:rPr>
        <w:t>Section 4(j)</w:t>
      </w:r>
      <w:r>
        <w:rPr>
          <w:rFonts w:ascii="Times New Roman" w:cs="Times New Roman" w:eastAsia="Times New Roman" w:hAnsi="Times New Roman"/>
          <w:sz w:val="22"/>
          <w:szCs w:val="22"/>
          <w:color w:val="auto"/>
        </w:rPr>
        <w:t>) for the Additional Note being purchased by such Buyer at such Additional Closing by wire transfer of immediately available funds in accordance with such applicable Additional Flow of Funds Letter (as defined below).</w:t>
      </w:r>
    </w:p>
    <w:p>
      <w:pPr>
        <w:spacing w:after="0" w:line="2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56"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such Buyer shall be true and correct in all material respects as of the date when made and as of such Additional Closing Date as though originally made at that time (except for representations and warranties that speak a of a specific date, which shall be true and correct as of such specific date), and such Buyer shall have performed, satisfied and complied in all material respects with the covenants, agreements and conditions required by the Transaction Documents to be performed, satisfied or complied with by such Buyer at or prior to such Additional Closing Date.</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EACH BUYER’S OBLIGATION TO PURCHASE.</w:t>
      </w:r>
    </w:p>
    <w:p>
      <w:pPr>
        <w:spacing w:after="0" w:line="223" w:lineRule="exact"/>
        <w:rPr>
          <w:rFonts w:ascii="Times New Roman" w:cs="Times New Roman" w:eastAsia="Times New Roman" w:hAnsi="Times New Roman"/>
          <w:sz w:val="22"/>
          <w:szCs w:val="22"/>
          <w:b w:val="1"/>
          <w:bCs w:val="1"/>
          <w:color w:val="auto"/>
        </w:rPr>
      </w:pPr>
    </w:p>
    <w:p>
      <w:pPr>
        <w:jc w:val="both"/>
        <w:ind w:firstLine="655"/>
        <w:spacing w:after="0" w:line="256" w:lineRule="auto"/>
        <w:tabs>
          <w:tab w:leader="none" w:pos="1292"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each Buyer hereunder to purchase its Initial Note at the Initial Closing is subject to the satisfaction, at or before the Initial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4"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duly executed and delivered to such Buyer each of the Transaction Documents to which it is a party and the Company shall have duly executed and delivered to such Buyer an Initial Note in such original principal amount as is set forth across from such Buyer’s name in column (3) of the Schedule of Buyers as being purchased by such Buyer at the Initial Closing pursuant to this Agreement.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50"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Buyer shall have received the legal opinion (or a reliance letter, as applicable) with respect to matters of Cayman Islands law from the Company’s Cayman Islands legal counsel, the legal opinion with respect to matters of U.S. law from the Company’s United States counsel, and the legal opinion with respect to matters of PRC law from the Company’s PRC counsel, each dated as of the Initial Closing Date, in the form acceptable to such Buyer.</w:t>
      </w:r>
    </w:p>
    <w:p>
      <w:pPr>
        <w:spacing w:after="0" w:line="176" w:lineRule="exact"/>
        <w:rPr>
          <w:rFonts w:ascii="Times New Roman" w:cs="Times New Roman" w:eastAsia="Times New Roman" w:hAnsi="Times New Roman"/>
          <w:sz w:val="21"/>
          <w:szCs w:val="21"/>
          <w:color w:val="auto"/>
        </w:rPr>
      </w:pPr>
    </w:p>
    <w:p>
      <w:pPr>
        <w:ind w:left="660" w:firstLine="644"/>
        <w:spacing w:after="0" w:line="295" w:lineRule="auto"/>
        <w:tabs>
          <w:tab w:leader="none" w:pos="1956"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delivered to such Buyer a copy of the Irrevocable Transfer Agent Instructions, in the form acceptable to such Buyer, which instructions shall have been delivered to and acknowledged in writing by</w:t>
      </w:r>
    </w:p>
    <w:p>
      <w:pPr>
        <w:sectPr>
          <w:pgSz w:w="11900" w:h="16838" w:orient="portrait"/>
          <w:cols w:equalWidth="0" w:num="1">
            <w:col w:w="10920"/>
          </w:cols>
          <w:pgMar w:left="320" w:top="1440" w:right="659" w:bottom="1440" w:gutter="0" w:footer="0" w:header="0"/>
        </w:sectPr>
      </w:pPr>
    </w:p>
    <w:bookmarkStart w:id="247" w:name="page248"/>
    <w:bookmarkEnd w:id="24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transfer agent and shall remain in full force and effect as of such Initial Closing Date.</w:t>
      </w:r>
    </w:p>
    <w:p>
      <w:pPr>
        <w:spacing w:after="0" w:line="220" w:lineRule="exact"/>
        <w:rPr>
          <w:sz w:val="20"/>
          <w:szCs w:val="20"/>
          <w:color w:val="auto"/>
        </w:rPr>
      </w:pPr>
    </w:p>
    <w:p>
      <w:pPr>
        <w:jc w:val="both"/>
        <w:ind w:firstLine="644"/>
        <w:spacing w:after="0" w:line="263" w:lineRule="auto"/>
        <w:tabs>
          <w:tab w:leader="none" w:pos="128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certificate evidencing the formation and good standing of the Company in such entity’s jurisdiction of formation issued by the Secretary of State (or comparable office) of such jurisdiction of formation as of a date within ten (10) days of the Initial Closing Date.</w:t>
      </w:r>
    </w:p>
    <w:p>
      <w:pPr>
        <w:spacing w:after="0" w:line="167" w:lineRule="exact"/>
        <w:rPr>
          <w:rFonts w:ascii="Times New Roman" w:cs="Times New Roman" w:eastAsia="Times New Roman" w:hAnsi="Times New Roman"/>
          <w:sz w:val="22"/>
          <w:szCs w:val="22"/>
          <w:color w:val="auto"/>
        </w:rPr>
      </w:pPr>
    </w:p>
    <w:p>
      <w:pPr>
        <w:ind w:firstLine="644"/>
        <w:spacing w:after="0" w:line="271"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certified copy of the Memorandum and Articles of Association as registered with the Registrar of Companies of the Cayman Islands.</w:t>
      </w:r>
    </w:p>
    <w:p>
      <w:pPr>
        <w:spacing w:after="0" w:line="157" w:lineRule="exact"/>
        <w:rPr>
          <w:rFonts w:ascii="Times New Roman" w:cs="Times New Roman" w:eastAsia="Times New Roman" w:hAnsi="Times New Roman"/>
          <w:sz w:val="22"/>
          <w:szCs w:val="22"/>
          <w:color w:val="auto"/>
        </w:rPr>
      </w:pPr>
    </w:p>
    <w:p>
      <w:pPr>
        <w:jc w:val="both"/>
        <w:ind w:firstLine="644"/>
        <w:spacing w:after="0" w:line="253" w:lineRule="auto"/>
        <w:tabs>
          <w:tab w:leader="none" w:pos="128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such Buyer a certificate, in the form reasonably acceptable to such Buyer, executed by the Secretary or the Chief Financial Officer of the Company and dated as of the Initial Closing Date, as to (i) the resolutions consistent with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as adopted by the Company’s board of directors in a form reasonably acceptable to such Buyer, (ii) the Articles of Association of the Company, and (iii) the Memorandum of Association of the Company, in each case, as in effect at the Initial Closing.</w:t>
      </w:r>
    </w:p>
    <w:p>
      <w:pPr>
        <w:spacing w:after="0" w:line="178" w:lineRule="exact"/>
        <w:rPr>
          <w:rFonts w:ascii="Times New Roman" w:cs="Times New Roman" w:eastAsia="Times New Roman" w:hAnsi="Times New Roman"/>
          <w:sz w:val="22"/>
          <w:szCs w:val="22"/>
          <w:color w:val="auto"/>
        </w:rPr>
      </w:pPr>
    </w:p>
    <w:p>
      <w:pPr>
        <w:jc w:val="both"/>
        <w:ind w:firstLine="644"/>
        <w:spacing w:after="0" w:line="250" w:lineRule="auto"/>
        <w:tabs>
          <w:tab w:leader="none" w:pos="129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representation and warranty of the Company shall be true and correct as of the date when made and as of the Initial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Initial Closing Date. Such Buyer shall have received a certificate, duly executed by the Chief Executive Officer of the Company, dated as of the Initial Closing Date, to the foregoing effect.</w:t>
      </w:r>
    </w:p>
    <w:p>
      <w:pPr>
        <w:spacing w:after="0" w:line="193" w:lineRule="exact"/>
        <w:rPr>
          <w:rFonts w:ascii="Times New Roman" w:cs="Times New Roman" w:eastAsia="Times New Roman" w:hAnsi="Times New Roman"/>
          <w:sz w:val="22"/>
          <w:szCs w:val="22"/>
          <w:color w:val="auto"/>
        </w:rPr>
      </w:pPr>
    </w:p>
    <w:p>
      <w:pPr>
        <w:ind w:firstLine="644"/>
        <w:spacing w:after="0" w:line="271" w:lineRule="auto"/>
        <w:tabs>
          <w:tab w:leader="none" w:pos="129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copy of the Company’s transfer agent certifying the number of Ordinary Shares outstanding on the Initial Closing Date immediately prior to the Initial Closing.</w:t>
      </w:r>
    </w:p>
    <w:p>
      <w:pPr>
        <w:spacing w:after="0" w:line="157" w:lineRule="exact"/>
        <w:rPr>
          <w:rFonts w:ascii="Times New Roman" w:cs="Times New Roman" w:eastAsia="Times New Roman" w:hAnsi="Times New Roman"/>
          <w:sz w:val="22"/>
          <w:szCs w:val="22"/>
          <w:color w:val="auto"/>
        </w:rPr>
      </w:pPr>
    </w:p>
    <w:p>
      <w:pPr>
        <w:jc w:val="both"/>
        <w:ind w:firstLine="644"/>
        <w:spacing w:after="0" w:line="253" w:lineRule="auto"/>
        <w:tabs>
          <w:tab w:leader="none" w:pos="128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Ordinary Shares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either (I) in writing by the SEC or the Principal Market or (II) by falling below the minimum maintenance requirements of the Principal Market.</w:t>
      </w:r>
    </w:p>
    <w:p>
      <w:pPr>
        <w:spacing w:after="0" w:line="178"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all governmental, regulatory or third party consents and approvals, if any, necessary for the sale of the Securities, including without limitation, those required by the Principal Market, if any.</w:t>
      </w:r>
    </w:p>
    <w:p>
      <w:pPr>
        <w:spacing w:after="0" w:line="186" w:lineRule="exact"/>
        <w:rPr>
          <w:rFonts w:ascii="Times New Roman" w:cs="Times New Roman" w:eastAsia="Times New Roman" w:hAnsi="Times New Roman"/>
          <w:sz w:val="22"/>
          <w:szCs w:val="22"/>
          <w:color w:val="auto"/>
        </w:rPr>
      </w:pPr>
    </w:p>
    <w:p>
      <w:pPr>
        <w:ind w:right="20" w:firstLine="644"/>
        <w:spacing w:after="0" w:line="271" w:lineRule="auto"/>
        <w:tabs>
          <w:tab w:leader="none" w:pos="128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w:t>
      </w:r>
    </w:p>
    <w:p>
      <w:pPr>
        <w:sectPr>
          <w:pgSz w:w="11900" w:h="16838" w:orient="portrait"/>
          <w:cols w:equalWidth="0" w:num="1">
            <w:col w:w="10260"/>
          </w:cols>
          <w:pgMar w:left="980" w:top="1440" w:right="659" w:bottom="1440" w:gutter="0" w:footer="0" w:header="0"/>
        </w:sectPr>
      </w:pPr>
    </w:p>
    <w:bookmarkStart w:id="248" w:name="page249"/>
    <w:bookmarkEnd w:id="248"/>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 Governmental Entity of competent jurisdiction that prohibits the consummation of any of the transactions contemplated by the Transaction Documents.</w:t>
      </w:r>
    </w:p>
    <w:p>
      <w:pPr>
        <w:spacing w:after="0" w:line="158" w:lineRule="exact"/>
        <w:rPr>
          <w:sz w:val="20"/>
          <w:szCs w:val="20"/>
          <w:color w:val="auto"/>
        </w:rPr>
      </w:pPr>
    </w:p>
    <w:p>
      <w:pPr>
        <w:ind w:right="20" w:firstLine="644"/>
        <w:spacing w:after="0" w:line="284" w:lineRule="auto"/>
        <w:tabs>
          <w:tab w:leader="none" w:pos="129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execution of this Agreement, no event or series of events shall have occurred that reasonably would have or result in a Material Adverse Effect.</w:t>
      </w:r>
    </w:p>
    <w:p>
      <w:pPr>
        <w:spacing w:after="0" w:line="143" w:lineRule="exact"/>
        <w:rPr>
          <w:rFonts w:ascii="Times New Roman" w:cs="Times New Roman" w:eastAsia="Times New Roman" w:hAnsi="Times New Roman"/>
          <w:sz w:val="22"/>
          <w:szCs w:val="22"/>
          <w:color w:val="auto"/>
        </w:rPr>
      </w:pPr>
    </w:p>
    <w:p>
      <w:pPr>
        <w:ind w:firstLine="644"/>
        <w:spacing w:after="0" w:line="271" w:lineRule="auto"/>
        <w:tabs>
          <w:tab w:leader="none" w:pos="12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approval of the Principal Market to list or designate for quotation (as the case may be) the applicable Conversion Shares to the extent required.</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8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have duly executed and delivered to the Company and such Buyer the Indenture, the Supplemental Indenture for such Initial Notes to be issued in the Initial Closing and the custodian agreements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Custodian Agreement</w:t>
      </w:r>
      <w:r>
        <w:rPr>
          <w:rFonts w:ascii="Times New Roman" w:cs="Times New Roman" w:eastAsia="Times New Roman" w:hAnsi="Times New Roman"/>
          <w:sz w:val="22"/>
          <w:szCs w:val="22"/>
          <w:color w:val="auto"/>
        </w:rPr>
        <w:t>”). The Indenture and the Supplemental Indenture for such Initial Notes shall be qualified under the TIA.</w:t>
      </w:r>
    </w:p>
    <w:p>
      <w:pPr>
        <w:spacing w:after="0" w:line="27" w:lineRule="exact"/>
        <w:rPr>
          <w:rFonts w:ascii="Times New Roman" w:cs="Times New Roman" w:eastAsia="Times New Roman" w:hAnsi="Times New Roman"/>
          <w:sz w:val="22"/>
          <w:szCs w:val="22"/>
          <w:color w:val="auto"/>
        </w:rPr>
      </w:pPr>
    </w:p>
    <w:p>
      <w:pPr>
        <w:jc w:val="both"/>
        <w:ind w:firstLine="644"/>
        <w:spacing w:after="0" w:line="263" w:lineRule="auto"/>
        <w:tabs>
          <w:tab w:leader="none" w:pos="129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bona fide dispute shall exist, by and between (or among) any of the Buyers, the Trustee and/or the Company, which dispute is reasonably related to this Agreement, any of the Securities and/or the transactions contemplated hereby or thereby, as applicable.</w:t>
      </w:r>
    </w:p>
    <w:p>
      <w:pPr>
        <w:spacing w:after="0" w:line="167" w:lineRule="exact"/>
        <w:rPr>
          <w:rFonts w:ascii="Times New Roman" w:cs="Times New Roman" w:eastAsia="Times New Roman" w:hAnsi="Times New Roman"/>
          <w:sz w:val="22"/>
          <w:szCs w:val="22"/>
          <w:color w:val="auto"/>
        </w:rPr>
      </w:pPr>
    </w:p>
    <w:p>
      <w:pPr>
        <w:jc w:val="both"/>
        <w:ind w:firstLine="644"/>
        <w:spacing w:after="0" w:line="249" w:lineRule="auto"/>
        <w:tabs>
          <w:tab w:leader="none" w:pos="128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to the Initial Closing Date, (i) trading in the Ordinary Shares shall not have been suspended by the SEC or the Principal Market (except for any suspension of trading of limited duration agreed to by the Company, which suspension shall be terminated prior to the Initial Closing), and, (ii) at any time prior to the Initial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Initial Closing.</w:t>
      </w:r>
    </w:p>
    <w:p>
      <w:pPr>
        <w:spacing w:after="0" w:line="183" w:lineRule="exact"/>
        <w:rPr>
          <w:rFonts w:ascii="Times New Roman" w:cs="Times New Roman" w:eastAsia="Times New Roman" w:hAnsi="Times New Roman"/>
          <w:sz w:val="22"/>
          <w:szCs w:val="22"/>
          <w:color w:val="auto"/>
        </w:rPr>
      </w:pPr>
    </w:p>
    <w:p>
      <w:pPr>
        <w:jc w:val="both"/>
        <w:ind w:firstLine="644"/>
        <w:spacing w:after="0" w:line="268" w:lineRule="auto"/>
        <w:tabs>
          <w:tab w:leader="none" w:pos="129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Registration Statement shall be effective and available for the issuance and sale of the Initial Notes to be issued in the Initial Closing and the Conversion Shares issuable upon conversion thereof pursuant to the terms of the Indenture and the Supplemental Indenture for the Initial Notes and the Company shall have delivered to such Buyer the Prospectus and the Prospectus Supplement with respect thereto as required hereunder and thereunder.</w:t>
      </w:r>
    </w:p>
    <w:p>
      <w:pPr>
        <w:spacing w:after="0" w:line="176" w:lineRule="exact"/>
        <w:rPr>
          <w:rFonts w:ascii="Times New Roman" w:cs="Times New Roman" w:eastAsia="Times New Roman" w:hAnsi="Times New Roman"/>
          <w:sz w:val="21"/>
          <w:szCs w:val="21"/>
          <w:color w:val="auto"/>
        </w:rPr>
      </w:pPr>
    </w:p>
    <w:p>
      <w:pPr>
        <w:ind w:firstLine="644"/>
        <w:spacing w:after="0" w:line="271" w:lineRule="auto"/>
        <w:tabs>
          <w:tab w:leader="none" w:pos="12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filed a Form T-1, in form and substance satisfactory to the Trustee, available for use with the transaction contemplated hereby in accordance with TIA 305(b)(2).</w:t>
      </w:r>
    </w:p>
    <w:p>
      <w:pPr>
        <w:sectPr>
          <w:pgSz w:w="11900" w:h="16838" w:orient="portrait"/>
          <w:cols w:equalWidth="0" w:num="1">
            <w:col w:w="10260"/>
          </w:cols>
          <w:pgMar w:left="980" w:top="1440" w:right="659" w:bottom="1440" w:gutter="0" w:footer="0" w:header="0"/>
        </w:sectPr>
      </w:pPr>
    </w:p>
    <w:bookmarkStart w:id="249" w:name="page250"/>
    <w:bookmarkEnd w:id="249"/>
    <w:p>
      <w:pPr>
        <w:spacing w:after="0" w:line="198" w:lineRule="exact"/>
        <w:rPr>
          <w:sz w:val="20"/>
          <w:szCs w:val="20"/>
          <w:color w:val="auto"/>
        </w:rPr>
      </w:pPr>
    </w:p>
    <w:p>
      <w:pPr>
        <w:ind w:left="1285" w:hanging="636"/>
        <w:spacing w:after="0"/>
        <w:tabs>
          <w:tab w:leader="none" w:pos="128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Buyer shall have duly executed and delivered to the Company a Leak-Out Agreement.</w:t>
      </w:r>
    </w:p>
    <w:p>
      <w:pPr>
        <w:spacing w:after="0" w:line="219" w:lineRule="exact"/>
        <w:rPr>
          <w:rFonts w:ascii="Times New Roman" w:cs="Times New Roman" w:eastAsia="Times New Roman" w:hAnsi="Times New Roman"/>
          <w:sz w:val="22"/>
          <w:szCs w:val="22"/>
          <w:color w:val="auto"/>
        </w:rPr>
      </w:pPr>
    </w:p>
    <w:p>
      <w:pPr>
        <w:ind w:left="5" w:firstLine="644"/>
        <w:spacing w:after="0" w:line="271" w:lineRule="auto"/>
        <w:tabs>
          <w:tab w:leader="none" w:pos="129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duly executed and delivered the administrative fee letter, with StructureCo Opportunities LLC,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Administrative Fee Letter</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5" w:firstLine="644"/>
        <w:spacing w:after="0" w:line="259" w:lineRule="auto"/>
        <w:tabs>
          <w:tab w:leader="none" w:pos="1289"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received a letter on the letterhead of the Company (the “</w:t>
      </w:r>
      <w:r>
        <w:rPr>
          <w:rFonts w:ascii="Times New Roman" w:cs="Times New Roman" w:eastAsia="Times New Roman" w:hAnsi="Times New Roman"/>
          <w:sz w:val="22"/>
          <w:szCs w:val="22"/>
          <w:b w:val="1"/>
          <w:bCs w:val="1"/>
          <w:color w:val="auto"/>
        </w:rPr>
        <w:t>Initial Flow of Funds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Letter</w:t>
      </w:r>
      <w:r>
        <w:rPr>
          <w:rFonts w:ascii="Times New Roman" w:cs="Times New Roman" w:eastAsia="Times New Roman" w:hAnsi="Times New Roman"/>
          <w:sz w:val="22"/>
          <w:szCs w:val="22"/>
          <w:color w:val="auto"/>
        </w:rPr>
        <w:t>”) duly executed by the Chief Executive Officer of the Company, setting forth the wire amounts of each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wire transfer instructions of the Company with respect to the Initial Closing.</w:t>
      </w:r>
    </w:p>
    <w:p>
      <w:pPr>
        <w:spacing w:after="0" w:line="170" w:lineRule="exact"/>
        <w:rPr>
          <w:rFonts w:ascii="Times New Roman" w:cs="Times New Roman" w:eastAsia="Times New Roman" w:hAnsi="Times New Roman"/>
          <w:sz w:val="22"/>
          <w:szCs w:val="22"/>
          <w:color w:val="auto"/>
        </w:rPr>
      </w:pPr>
    </w:p>
    <w:p>
      <w:pPr>
        <w:jc w:val="both"/>
        <w:ind w:left="5" w:firstLine="644"/>
        <w:spacing w:after="0" w:line="263" w:lineRule="auto"/>
        <w:tabs>
          <w:tab w:leader="none" w:pos="129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shall have delivered to such Buyer such other documents, instruments or certificates relating to the transactions contemplated by this Agreement as such Buyer or its counsel may reasonably request and which are commonly required for similar transactions.</w:t>
      </w:r>
    </w:p>
    <w:p>
      <w:pPr>
        <w:spacing w:after="0" w:line="18" w:lineRule="exact"/>
        <w:rPr>
          <w:rFonts w:ascii="Times New Roman" w:cs="Times New Roman" w:eastAsia="Times New Roman" w:hAnsi="Times New Roman"/>
          <w:sz w:val="22"/>
          <w:szCs w:val="22"/>
          <w:color w:val="auto"/>
        </w:rPr>
      </w:pPr>
    </w:p>
    <w:p>
      <w:pPr>
        <w:jc w:val="both"/>
        <w:ind w:left="-655" w:firstLine="655"/>
        <w:spacing w:after="0" w:line="256" w:lineRule="auto"/>
        <w:tabs>
          <w:tab w:leader="none" w:pos="63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each Buyer hereunder to purchase its Additional Note at such Additional Closing is subject to the satisfaction, at or before such applicable Additional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rFonts w:ascii="Times New Roman" w:cs="Times New Roman" w:eastAsia="Times New Roman" w:hAnsi="Times New Roman"/>
          <w:sz w:val="22"/>
          <w:szCs w:val="22"/>
          <w:color w:val="auto"/>
        </w:rPr>
      </w:pPr>
    </w:p>
    <w:p>
      <w:pPr>
        <w:jc w:val="both"/>
        <w:ind w:left="5" w:firstLine="644"/>
        <w:spacing w:after="0" w:line="252" w:lineRule="auto"/>
        <w:tabs>
          <w:tab w:leader="none" w:pos="128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duly executed and delivered to such Buyer each of the Transaction Documents to which it is a party and the Company shall have duly executed and delivered to such Buyer an Additional Note in such original principal amount as being purchased by such Buyer at such Additional Closing pursuant to this Agreement.</w:t>
      </w:r>
    </w:p>
    <w:p>
      <w:pPr>
        <w:spacing w:after="0" w:line="192" w:lineRule="exact"/>
        <w:rPr>
          <w:rFonts w:ascii="Times New Roman" w:cs="Times New Roman" w:eastAsia="Times New Roman" w:hAnsi="Times New Roman"/>
          <w:sz w:val="22"/>
          <w:szCs w:val="22"/>
          <w:color w:val="auto"/>
        </w:rPr>
      </w:pPr>
    </w:p>
    <w:p>
      <w:pPr>
        <w:jc w:val="both"/>
        <w:ind w:left="5" w:firstLine="644"/>
        <w:spacing w:after="0" w:line="250" w:lineRule="auto"/>
        <w:tabs>
          <w:tab w:leader="none" w:pos="129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received the legal opinion (or reliance letter, as applicable) with respect to matters of Cayman Islands law from the Company’s Cayman Islands legal counsel, the legal opinion with respect to matters of U.S. law from the Company’s United States counsel, and the legal opinion with respect to matters of PRC law from the Company’s PRC counsel, each dated as of such Additional Closing Date, in the form acceptable to such Buyer.</w:t>
      </w:r>
    </w:p>
    <w:p>
      <w:pPr>
        <w:spacing w:after="0" w:line="194" w:lineRule="exact"/>
        <w:rPr>
          <w:rFonts w:ascii="Times New Roman" w:cs="Times New Roman" w:eastAsia="Times New Roman" w:hAnsi="Times New Roman"/>
          <w:sz w:val="22"/>
          <w:szCs w:val="22"/>
          <w:color w:val="auto"/>
        </w:rPr>
      </w:pPr>
    </w:p>
    <w:p>
      <w:pPr>
        <w:jc w:val="both"/>
        <w:ind w:left="5" w:right="20" w:firstLine="644"/>
        <w:spacing w:after="0" w:line="252" w:lineRule="auto"/>
        <w:tabs>
          <w:tab w:leader="none" w:pos="130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copy of the Irrevocable Transfer Agent Instructions, in the form acceptable to such Buyer, which instructions shall have been delivered to and acknowledged in writing by the Company’s transfer agent and shall remain in full force and effect as of such Additional Closing Date.</w:t>
      </w:r>
    </w:p>
    <w:p>
      <w:pPr>
        <w:spacing w:after="0" w:line="179" w:lineRule="exact"/>
        <w:rPr>
          <w:rFonts w:ascii="Times New Roman" w:cs="Times New Roman" w:eastAsia="Times New Roman" w:hAnsi="Times New Roman"/>
          <w:sz w:val="22"/>
          <w:szCs w:val="22"/>
          <w:color w:val="auto"/>
        </w:rPr>
      </w:pPr>
    </w:p>
    <w:p>
      <w:pPr>
        <w:jc w:val="both"/>
        <w:ind w:left="5" w:firstLine="644"/>
        <w:spacing w:after="0" w:line="263" w:lineRule="auto"/>
        <w:tabs>
          <w:tab w:leader="none" w:pos="128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certificate evidencing the formation and good standing of the Company in such entity’s jurisdiction of formation issued by the Secretary of State (or comparable office) of such jurisdiction of formation as of a date within ten (10) days of such Additional Closing Date.</w:t>
      </w:r>
    </w:p>
    <w:p>
      <w:pPr>
        <w:sectPr>
          <w:pgSz w:w="11900" w:h="16838" w:orient="portrait"/>
          <w:cols w:equalWidth="0" w:num="1">
            <w:col w:w="10265"/>
          </w:cols>
          <w:pgMar w:left="975" w:top="1440" w:right="659" w:bottom="1440" w:gutter="0" w:footer="0" w:header="0"/>
        </w:sectPr>
      </w:pPr>
    </w:p>
    <w:bookmarkStart w:id="250" w:name="page251"/>
    <w:bookmarkEnd w:id="250"/>
    <w:p>
      <w:pPr>
        <w:spacing w:after="0" w:line="198" w:lineRule="exact"/>
        <w:rPr>
          <w:sz w:val="20"/>
          <w:szCs w:val="20"/>
          <w:color w:val="auto"/>
        </w:rPr>
      </w:pPr>
    </w:p>
    <w:p>
      <w:pPr>
        <w:ind w:left="-460" w:firstLine="644"/>
        <w:spacing w:after="0" w:line="271" w:lineRule="auto"/>
        <w:tabs>
          <w:tab w:leader="none" w:pos="83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certified copy of the Memorandum and Articles of Association as registered with the Registrar of Companies of the Cayman Islands.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2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such Buyer a certificate, in the form reasonably acceptable to such Buyer, executed by the Secretary or the Chief Financial Officer of the Company and dated as of such Additional Closing Date, as to (i) the resolutions consistent with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as adopted by the Company’s board of directors in a form reasonably acceptable to such Buyer, (ii) the Articles of Association of the Company and (iii) the Memorandum of Association of the Company, in each case, as in effect at such Additional Closing.</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3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representation and warranty of the Company shall be true and correct as of the date when made and as of such Additional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such Additional Closing Date. Such Buyer shall have received a certificate, duly executed by the Chief Executive Officer of the Company, dated as of such Additional Closing Date, to the foregoing effect.</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letter from the Company’s transfer agent certifying the number of Ordinary Shares outstanding on such Additional Closing Date immediately prior to such Additional Closing.</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2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Ordinary Shares (A) shall be designated for quotation or listed (as applicable) on the Principal Market and (B) shall not have been suspended, as of such Additional Closing Date, by the SEC or the Principal Market from trading on the Principal Market nor shall suspension by the SEC or the Principal Market have been threatened, as of such Additional Closing Date, either (I) in writing by the SEC or the Principal Market or (II) by falling below the minimum maintenance requirements of the Principal Market.</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3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all governmental, regulatory or third party consents and approvals, if any, necessary for the sale of the Securities, including without limitation, those required by the Principal Market, if any.</w:t>
      </w:r>
    </w:p>
    <w:p>
      <w:pPr>
        <w:spacing w:after="0" w:line="167" w:lineRule="exact"/>
        <w:rPr>
          <w:rFonts w:ascii="Times New Roman" w:cs="Times New Roman" w:eastAsia="Times New Roman" w:hAnsi="Times New Roman"/>
          <w:sz w:val="22"/>
          <w:szCs w:val="22"/>
          <w:color w:val="auto"/>
        </w:rPr>
      </w:pPr>
    </w:p>
    <w:p>
      <w:pPr>
        <w:jc w:val="both"/>
        <w:ind w:left="-460" w:right="20" w:firstLine="644"/>
        <w:spacing w:after="0" w:line="257" w:lineRule="auto"/>
        <w:tabs>
          <w:tab w:leader="none" w:pos="82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2" w:lineRule="exact"/>
        <w:rPr>
          <w:rFonts w:ascii="Times New Roman" w:cs="Times New Roman" w:eastAsia="Times New Roman" w:hAnsi="Times New Roman"/>
          <w:sz w:val="22"/>
          <w:szCs w:val="22"/>
          <w:color w:val="auto"/>
        </w:rPr>
      </w:pPr>
    </w:p>
    <w:p>
      <w:pPr>
        <w:ind w:left="-460" w:right="20" w:firstLine="644"/>
        <w:spacing w:after="0" w:line="284" w:lineRule="auto"/>
        <w:tabs>
          <w:tab w:leader="none" w:pos="83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execution of this Agreement, no event or series of events shall have occurred that reasonably would have or result in a Material Adverse Effect.</w:t>
      </w:r>
    </w:p>
    <w:p>
      <w:pPr>
        <w:spacing w:after="0" w:line="143" w:lineRule="exact"/>
        <w:rPr>
          <w:rFonts w:ascii="Times New Roman" w:cs="Times New Roman" w:eastAsia="Times New Roman" w:hAnsi="Times New Roman"/>
          <w:sz w:val="22"/>
          <w:szCs w:val="22"/>
          <w:color w:val="auto"/>
        </w:rPr>
      </w:pPr>
    </w:p>
    <w:p>
      <w:pPr>
        <w:ind w:left="-460" w:firstLine="644"/>
        <w:spacing w:after="0" w:line="271" w:lineRule="auto"/>
        <w:tabs>
          <w:tab w:leader="none" w:pos="8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approval of the Principal Market to list or designate for quotation (as the case may be) the Conversion Shares</w:t>
      </w:r>
    </w:p>
    <w:p>
      <w:pPr>
        <w:sectPr>
          <w:pgSz w:w="11900" w:h="16838" w:orient="portrait"/>
          <w:cols w:equalWidth="0" w:num="1">
            <w:col w:w="9800"/>
          </w:cols>
          <w:pgMar w:left="1440" w:top="1440" w:right="659" w:bottom="1440" w:gutter="0" w:footer="0" w:header="0"/>
        </w:sectPr>
      </w:pPr>
    </w:p>
    <w:bookmarkStart w:id="251" w:name="page252"/>
    <w:bookmarkEnd w:id="25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issuable upon conversion of such Additional Notes to be sold in such Additional Closing.</w:t>
      </w:r>
    </w:p>
    <w:p>
      <w:pPr>
        <w:spacing w:after="0" w:line="220" w:lineRule="exact"/>
        <w:rPr>
          <w:sz w:val="20"/>
          <w:szCs w:val="20"/>
          <w:color w:val="auto"/>
        </w:rPr>
      </w:pPr>
    </w:p>
    <w:p>
      <w:pPr>
        <w:jc w:val="both"/>
        <w:ind w:firstLine="644"/>
        <w:spacing w:after="0" w:line="249" w:lineRule="auto"/>
        <w:tabs>
          <w:tab w:leader="none" w:pos="12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to such Additional Closing Date, (i) trading in the Ordinary Shares shall not have been suspended by the SEC or the Principal Market (except for any suspension of trading of limited duration agreed to by the Company, which suspension shall be terminated prior to such Additional Closing), and, (ii) at any time prior to such Additional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such Additional Closing.</w:t>
      </w:r>
    </w:p>
    <w:p>
      <w:pPr>
        <w:spacing w:after="0" w:line="183" w:lineRule="exact"/>
        <w:rPr>
          <w:rFonts w:ascii="Times New Roman" w:cs="Times New Roman" w:eastAsia="Times New Roman" w:hAnsi="Times New Roman"/>
          <w:sz w:val="22"/>
          <w:szCs w:val="22"/>
          <w:color w:val="auto"/>
        </w:rPr>
      </w:pPr>
    </w:p>
    <w:p>
      <w:pPr>
        <w:jc w:val="both"/>
        <w:ind w:firstLine="644"/>
        <w:spacing w:after="0" w:line="253"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shall be effective and available for the issuance and sale of the Additional Notes to be issued in such Additional Closing and the Conversion Shares issuable upon conversion thereof pursuant to the terms of the Indenture and the Supplemental Indenture for such Additional Note and the Company shall have delivered to such Buyer the Prospectus and the Prospectus Supplement with respect thereto as required hereunder and thereunder.</w:t>
      </w:r>
    </w:p>
    <w:p>
      <w:pPr>
        <w:spacing w:after="0" w:line="178" w:lineRule="exact"/>
        <w:rPr>
          <w:rFonts w:ascii="Times New Roman" w:cs="Times New Roman" w:eastAsia="Times New Roman" w:hAnsi="Times New Roman"/>
          <w:sz w:val="22"/>
          <w:szCs w:val="22"/>
          <w:color w:val="auto"/>
        </w:rPr>
      </w:pPr>
    </w:p>
    <w:p>
      <w:pPr>
        <w:jc w:val="both"/>
        <w:ind w:firstLine="644"/>
        <w:spacing w:after="0" w:line="256" w:lineRule="auto"/>
        <w:tabs>
          <w:tab w:leader="none" w:pos="12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have duly executed and delivered to the Company and such Buyer the applicable the Supplemental Indenture for such Additional Notes to be issued in such Additional Closing and the Custodian Agreements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Indenture and the Supplemental Indenture for such Additional Notes shall be qualified under the TIA.</w:t>
      </w:r>
    </w:p>
    <w:p>
      <w:pPr>
        <w:spacing w:after="0" w:line="176"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bona fide dispute shall exist, by and between (or among) any of the Buyers, any holder of Notes, the Trustee and/or the Company, which dispute is reasonably related to this Agreement, any of the Securities and/or the transactions contemplated hereby or thereby, as applicable.</w:t>
      </w:r>
    </w:p>
    <w:p>
      <w:pPr>
        <w:spacing w:after="0" w:line="182" w:lineRule="exact"/>
        <w:rPr>
          <w:rFonts w:ascii="Times New Roman" w:cs="Times New Roman" w:eastAsia="Times New Roman" w:hAnsi="Times New Roman"/>
          <w:sz w:val="22"/>
          <w:szCs w:val="22"/>
          <w:color w:val="auto"/>
        </w:rPr>
      </w:pPr>
    </w:p>
    <w:p>
      <w:pPr>
        <w:jc w:val="both"/>
        <w:ind w:firstLine="644"/>
        <w:spacing w:after="0" w:line="259" w:lineRule="auto"/>
        <w:tabs>
          <w:tab w:leader="none" w:pos="12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received a letter on the letterhead of the Company (each, a “</w:t>
      </w:r>
      <w:r>
        <w:rPr>
          <w:rFonts w:ascii="Times New Roman" w:cs="Times New Roman" w:eastAsia="Times New Roman" w:hAnsi="Times New Roman"/>
          <w:sz w:val="22"/>
          <w:szCs w:val="22"/>
          <w:b w:val="1"/>
          <w:bCs w:val="1"/>
          <w:color w:val="auto"/>
        </w:rPr>
        <w:t>Additional Flow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Funds Letter</w:t>
      </w:r>
      <w:r>
        <w:rPr>
          <w:rFonts w:ascii="Times New Roman" w:cs="Times New Roman" w:eastAsia="Times New Roman" w:hAnsi="Times New Roman"/>
          <w:sz w:val="22"/>
          <w:szCs w:val="22"/>
          <w:color w:val="auto"/>
        </w:rPr>
        <w:t>”) duly executed by the Chief Executive Officer of the Company, setting forth the wire amounts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and the wire transfer instructions of the Company with respect to such Additional Closing.</w:t>
      </w:r>
    </w:p>
    <w:p>
      <w:pPr>
        <w:spacing w:after="0" w:line="170" w:lineRule="exact"/>
        <w:rPr>
          <w:rFonts w:ascii="Times New Roman" w:cs="Times New Roman" w:eastAsia="Times New Roman" w:hAnsi="Times New Roman"/>
          <w:sz w:val="22"/>
          <w:szCs w:val="22"/>
          <w:color w:val="auto"/>
        </w:rPr>
      </w:pPr>
    </w:p>
    <w:p>
      <w:pPr>
        <w:jc w:val="both"/>
        <w:ind w:firstLine="644"/>
        <w:spacing w:after="0" w:line="257" w:lineRule="auto"/>
        <w:tabs>
          <w:tab w:leader="none" w:pos="12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Indebtedness on Schedule 3(s), as updated by the Company on or prior to each Additional Closing, exceeds the aggregate outstanding Indebtedness (and/or the aggregate amount of secured Indebtedness, as applicable) as of the Initial Closing Date.</w:t>
      </w:r>
    </w:p>
    <w:p>
      <w:pPr>
        <w:sectPr>
          <w:pgSz w:w="11900" w:h="16838" w:orient="portrait"/>
          <w:cols w:equalWidth="0" w:num="1">
            <w:col w:w="10260"/>
          </w:cols>
          <w:pgMar w:left="980" w:top="1440" w:right="659" w:bottom="1440" w:gutter="0" w:footer="0" w:header="0"/>
        </w:sectPr>
      </w:pPr>
    </w:p>
    <w:bookmarkStart w:id="252" w:name="page253"/>
    <w:bookmarkEnd w:id="252"/>
    <w:p>
      <w:pPr>
        <w:spacing w:after="0" w:line="198" w:lineRule="exact"/>
        <w:rPr>
          <w:sz w:val="20"/>
          <w:szCs w:val="20"/>
          <w:color w:val="auto"/>
        </w:rPr>
      </w:pPr>
    </w:p>
    <w:p>
      <w:pPr>
        <w:jc w:val="both"/>
        <w:ind w:left="660" w:firstLine="644"/>
        <w:spacing w:after="0" w:line="257" w:lineRule="auto"/>
        <w:tabs>
          <w:tab w:leader="none" w:pos="195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shall have delivered to such Buyer such other documents, instruments or certificates relating to the transactions contemplated by this Agreement as such Buyer or its counsel may reasonably request and which are commonly required for similar transactions.</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the Initial Closing shall not have occurred with respect to a Buyer within five (5) days of the date</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w:t>
      </w:r>
      <w:r>
        <w:rPr>
          <w:rFonts w:ascii="Times New Roman" w:cs="Times New Roman" w:eastAsia="Times New Roman" w:hAnsi="Times New Roman"/>
          <w:sz w:val="22"/>
          <w:szCs w:val="22"/>
          <w:u w:val="single" w:color="auto"/>
          <w:color w:val="auto"/>
        </w:rPr>
        <w:t>Section 4(j)</w:t>
      </w:r>
      <w:r>
        <w:rPr>
          <w:rFonts w:ascii="Times New Roman" w:cs="Times New Roman" w:eastAsia="Times New Roman" w:hAnsi="Times New Roman"/>
          <w:sz w:val="22"/>
          <w:szCs w:val="22"/>
          <w:color w:val="auto"/>
        </w:rPr>
        <w:t xml:space="preserve"> above. Nothing contained in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281"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23" w:lineRule="exact"/>
        <w:rPr>
          <w:rFonts w:ascii="Times New Roman" w:cs="Times New Roman" w:eastAsia="Times New Roman" w:hAnsi="Times New Roman"/>
          <w:sz w:val="22"/>
          <w:szCs w:val="22"/>
          <w:b w:val="1"/>
          <w:bCs w:val="1"/>
          <w:color w:val="auto"/>
        </w:rPr>
      </w:pPr>
    </w:p>
    <w:p>
      <w:pPr>
        <w:jc w:val="both"/>
        <w:ind w:firstLine="655"/>
        <w:spacing w:after="0" w:line="258" w:lineRule="auto"/>
        <w:tabs>
          <w:tab w:leader="none" w:pos="1292"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 Jury Trial</w:t>
      </w:r>
      <w:r>
        <w:rPr>
          <w:rFonts w:ascii="Times New Roman" w:cs="Times New Roman" w:eastAsia="Times New Roman" w:hAnsi="Times New Roman"/>
          <w:sz w:val="21"/>
          <w:szCs w:val="21"/>
          <w:color w:val="auto"/>
        </w:rPr>
        <w:t xml:space="preserve">. All questions concerning the construction, validity, enforcement and interpretation of this Agreement shall be governed by the internal laws of the State of New York, without giving effect to any provision of law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Cogency Global Inc., as its agent for service of process in New York.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21"/>
          <w:szCs w:val="21"/>
          <w:b w:val="1"/>
          <w:bCs w:val="1"/>
          <w:color w:val="auto"/>
        </w:rPr>
        <w:t>EACH PARTY HEREBY IRREVOCABLY</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WAIVES ANY RIGHT IT MAY HAVE TO,</w:t>
      </w:r>
    </w:p>
    <w:p>
      <w:pPr>
        <w:sectPr>
          <w:pgSz w:w="11900" w:h="16838" w:orient="portrait"/>
          <w:cols w:equalWidth="0" w:num="1">
            <w:col w:w="10920"/>
          </w:cols>
          <w:pgMar w:left="320" w:top="1440" w:right="659" w:bottom="1440" w:gutter="0" w:footer="0" w:header="0"/>
        </w:sectPr>
      </w:pPr>
    </w:p>
    <w:bookmarkStart w:id="253" w:name="page254"/>
    <w:bookmarkEnd w:id="25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AND AGREES NOT TO REQUEST, A JURY TRIAL FOR THE ADJUDICATION OF ANY DISPUTE HEREUNDER OR UNDER ANY OTHER TRANSACTION DOCUMENT OR IN CONNECTION WITH OR ARISING OUT OF THIS AGREEMENT, ANY OTHER TRANSACTION DOCUMENT OR ANY TRANSACTION CONTEMPLATED HEREBY OR THEREBY. </w:t>
      </w:r>
      <w:r>
        <w:rPr>
          <w:rFonts w:ascii="Times New Roman" w:cs="Times New Roman" w:eastAsia="Times New Roman" w:hAnsi="Times New Roman"/>
          <w:sz w:val="21"/>
          <w:szCs w:val="21"/>
          <w:color w:val="auto"/>
        </w:rPr>
        <w:t>The choice of the laws of the State of New York as the governing law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a valid choice of law and would be recognized and given effect to in any action brought before a court of competent jurisdiction in the Cayman Islands, except for those laws (i) which such court considers to be procedural in nature,</w:t>
      </w:r>
    </w:p>
    <w:p>
      <w:pPr>
        <w:spacing w:after="0" w:line="5" w:lineRule="exact"/>
        <w:rPr>
          <w:sz w:val="20"/>
          <w:szCs w:val="20"/>
          <w:color w:val="auto"/>
        </w:rPr>
      </w:pPr>
    </w:p>
    <w:p>
      <w:pPr>
        <w:jc w:val="both"/>
        <w:ind w:firstLine="8"/>
        <w:spacing w:after="0" w:line="245" w:lineRule="auto"/>
        <w:tabs>
          <w:tab w:leader="none" w:pos="32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are revenue or penal laws or (iii) the application of which would be inconsistent with public policy, as such term is interpreted under the laws of the Cayman Islands. The choice of laws of the State of New York as the governing law of this Agreement will be honored by competent courts in the PRC, subject to compliance with relevant PRC civil procedural requirements. The Company or any of their respective properties, assets or revenues does not have any right of immunity under Cayman Islands, the PRC or New York law, from any legal action, suit or proceeding, from the giving of any relief in any such legal action, suit or proceeding, from set-off or counterclaim, from the jurisdiction of any Cayman Islands and the PRC,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Transaction Documents.</w:t>
      </w:r>
    </w:p>
    <w:p>
      <w:pPr>
        <w:spacing w:after="0" w:line="209"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1"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2"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Gender</w:t>
      </w:r>
      <w:r>
        <w:rPr>
          <w:rFonts w:ascii="Times New Roman" w:cs="Times New Roman" w:eastAsia="Times New Roman" w:hAnsi="Times New Roman"/>
          <w:sz w:val="22"/>
          <w:szCs w:val="22"/>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1" w:lineRule="exact"/>
        <w:rPr>
          <w:rFonts w:ascii="Times New Roman" w:cs="Times New Roman" w:eastAsia="Times New Roman" w:hAnsi="Times New Roman"/>
          <w:sz w:val="22"/>
          <w:szCs w:val="22"/>
          <w:color w:val="auto"/>
        </w:rPr>
      </w:pPr>
    </w:p>
    <w:p>
      <w:pPr>
        <w:jc w:val="both"/>
        <w:ind w:firstLine="655"/>
        <w:spacing w:after="0" w:line="257" w:lineRule="auto"/>
        <w:tabs>
          <w:tab w:leader="none" w:pos="129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Maximum Payment Amounts</w:t>
      </w:r>
      <w:r>
        <w:rPr>
          <w:rFonts w:ascii="Times New Roman" w:cs="Times New Roman" w:eastAsia="Times New Roman" w:hAnsi="Times New Roman"/>
          <w:sz w:val="22"/>
          <w:szCs w:val="22"/>
          <w:color w:val="auto"/>
        </w:rPr>
        <w:t>. If any provision of this Agreement is prohibited by law or otherwise determined to be invalid or unenforceable by a court of competent jurisdiction, the provision that would otherwise be prohibited,</w:t>
      </w:r>
    </w:p>
    <w:p>
      <w:pPr>
        <w:sectPr>
          <w:pgSz w:w="11900" w:h="16838" w:orient="portrait"/>
          <w:cols w:equalWidth="0" w:num="1">
            <w:col w:w="10920"/>
          </w:cols>
          <w:pgMar w:left="320" w:top="1440" w:right="659" w:bottom="1440" w:gutter="0" w:footer="0" w:header="0"/>
        </w:sectPr>
      </w:pPr>
    </w:p>
    <w:bookmarkStart w:id="254" w:name="page255"/>
    <w:bookmarkEnd w:id="254"/>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to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6" w:lineRule="exact"/>
        <w:rPr>
          <w:sz w:val="20"/>
          <w:szCs w:val="20"/>
          <w:color w:val="auto"/>
        </w:rPr>
      </w:pPr>
    </w:p>
    <w:p>
      <w:pPr>
        <w:jc w:val="both"/>
        <w:ind w:firstLine="655"/>
        <w:spacing w:after="0" w:line="248" w:lineRule="auto"/>
        <w:tabs>
          <w:tab w:leader="none" w:pos="129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Ordinary Shares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w:t>
      </w:r>
    </w:p>
    <w:p>
      <w:pPr>
        <w:sectPr>
          <w:pgSz w:w="11900" w:h="16838" w:orient="portrait"/>
          <w:cols w:equalWidth="0" w:num="1">
            <w:col w:w="10920"/>
          </w:cols>
          <w:pgMar w:left="320" w:top="1440" w:right="659" w:bottom="1440" w:gutter="0" w:footer="0" w:header="0"/>
        </w:sectPr>
      </w:pPr>
    </w:p>
    <w:bookmarkStart w:id="255" w:name="page256"/>
    <w:bookmarkEnd w:id="255"/>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xml:space="preserv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Notwithstanding anything in any Transaction Document to the contrary, no waiver shall be effective unless it is in writing and signed by an authorized representative of the waiving party, provided that the Required Holders may waive any provision of this Agreement or any other Transaction Document, and any waiver of any provision of this Agreement or any other Transaction Document made in conformity with the provisions of this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xml:space="preserv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Notes. From the date hereof and while any Notes are outstanding, the Company shall not be permitted to receive any consideration from a Buyer or a holder of Notes that is not otherwise contemplated by the Transaction Documents in order to, directly or indirectly, induce the Company or any Subsidiary (i) to treat such Buyer or holder of Notes in a manner that is more favorable than to other similarly situated Buyers or holders of Notes, or (ii) to treat any Buyer(s) or holder(s) of Notes in a manner that is less favorable than the Buyer or holder of Notes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w:t>
      </w:r>
    </w:p>
    <w:p>
      <w:pPr>
        <w:sectPr>
          <w:pgSz w:w="11900" w:h="16838" w:orient="portrait"/>
          <w:cols w:equalWidth="0" w:num="1">
            <w:col w:w="10920"/>
          </w:cols>
          <w:pgMar w:left="320" w:top="1440" w:right="659" w:bottom="1440" w:gutter="0" w:footer="0" w:header="0"/>
        </w:sectPr>
      </w:pPr>
    </w:p>
    <w:bookmarkStart w:id="256" w:name="page257"/>
    <w:bookmarkEnd w:id="256"/>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Document and (y) unless a provision of this Agreement or any other Transaction Document is expressly qualified by the phrase “except as disclosed in the SEC Documents” (which for the avoidance of doubt, includes the representations and warranties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other than such representations and warranties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22"/>
          <w:szCs w:val="22"/>
          <w:b w:val="1"/>
          <w:bCs w:val="1"/>
          <w:color w:val="auto"/>
        </w:rPr>
        <w:t>Required Holders</w:t>
      </w:r>
      <w:r>
        <w:rPr>
          <w:rFonts w:ascii="Times New Roman" w:cs="Times New Roman" w:eastAsia="Times New Roman" w:hAnsi="Times New Roman"/>
          <w:sz w:val="22"/>
          <w:szCs w:val="22"/>
          <w:color w:val="auto"/>
        </w:rPr>
        <w:t xml:space="preserve">” means either (i) ATW Mobility SPV LLC or (ii) after the Second Tranche Additional Closing Expiration Date (or, if earlier, the date all Additional Notes issuable hereunder have been issued to the Buyers), if ATW Mobility SPV LLC does not hold any Securities of the Company, holders of a majority of the Underlying Securities as of such time (excluding any Underlying Securities held by the Company or any of its Subsidiaries as of such time) issued or issuable hereunder or pursuant to the Notes (or the Buyers, with respect to any waiver or amendment of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55"/>
        <w:spacing w:after="0" w:line="250" w:lineRule="auto"/>
        <w:tabs>
          <w:tab w:leader="none" w:pos="129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five (5) Business Day after deposit with an international courier service (or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ECARX Holdings Inc. International House</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 St. Katharine’s Way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London E1W 1UN</w:t>
      </w:r>
    </w:p>
    <w:p>
      <w:pPr>
        <w:spacing w:after="0" w:line="3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United Kingdom Attention: Henry Yu</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henry.yu@ecarxgroup.com</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(for informational purposes only) to:</w:t>
      </w:r>
    </w:p>
    <w:p>
      <w:pPr>
        <w:spacing w:after="0" w:line="220" w:lineRule="exact"/>
        <w:rPr>
          <w:sz w:val="20"/>
          <w:szCs w:val="20"/>
          <w:color w:val="auto"/>
        </w:rPr>
      </w:pPr>
    </w:p>
    <w:p>
      <w:pPr>
        <w:ind w:left="2600" w:right="2680"/>
        <w:spacing w:after="0" w:line="273" w:lineRule="auto"/>
        <w:rPr>
          <w:sz w:val="20"/>
          <w:szCs w:val="20"/>
          <w:color w:val="auto"/>
        </w:rPr>
      </w:pPr>
      <w:r>
        <w:rPr>
          <w:rFonts w:ascii="Times New Roman" w:cs="Times New Roman" w:eastAsia="Times New Roman" w:hAnsi="Times New Roman"/>
          <w:sz w:val="21"/>
          <w:szCs w:val="21"/>
          <w:color w:val="auto"/>
        </w:rPr>
        <w:t>Skadden, Arps, Slate, Meagher &amp; Flom 42/F, Edinburgh Tower, The Landmark 15 Queen’s Road Central, Hong Kong Telephone: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(852) 3740-4700 Attention: Shu Du</w:t>
      </w:r>
    </w:p>
    <w:p>
      <w:pPr>
        <w:sectPr>
          <w:pgSz w:w="11900" w:h="16838" w:orient="portrait"/>
          <w:cols w:equalWidth="0" w:num="1">
            <w:col w:w="10920"/>
          </w:cols>
          <w:pgMar w:left="320" w:top="1440" w:right="659" w:bottom="1440" w:gutter="0" w:footer="0" w:header="0"/>
        </w:sectPr>
      </w:pPr>
    </w:p>
    <w:bookmarkStart w:id="257" w:name="page258"/>
    <w:bookmarkEnd w:id="257"/>
    <w:p>
      <w:pPr>
        <w:spacing w:after="0" w:line="7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Shu.Du@skadden.com If to the Transfer Agent:</w:t>
      </w:r>
    </w:p>
    <w:p>
      <w:pPr>
        <w:spacing w:after="0" w:line="1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Continental Stock Transfer &amp; Trust Company 1 State Street, 30th floor</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10004 Telephone: 800-509-5586 Attention: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Compliance Dept.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Compliance@continentalstock.cm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 Buyer, to its mailing address and e-mail address set forth on the Schedule of Buyers, with copies to such Buyer’s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representatives as set forth on the Schedule of Buyers, with a copy (for informational purposes only) to:</w:t>
      </w:r>
    </w:p>
    <w:p>
      <w:pPr>
        <w:ind w:left="2600"/>
        <w:spacing w:after="0" w:line="203" w:lineRule="auto"/>
        <w:rPr>
          <w:sz w:val="20"/>
          <w:szCs w:val="20"/>
          <w:color w:val="auto"/>
        </w:rPr>
      </w:pPr>
      <w:r>
        <w:rPr>
          <w:rFonts w:ascii="Times New Roman" w:cs="Times New Roman" w:eastAsia="Times New Roman" w:hAnsi="Times New Roman"/>
          <w:sz w:val="22"/>
          <w:szCs w:val="22"/>
          <w:color w:val="auto"/>
        </w:rPr>
        <w:t>Kelley Drye &amp; Warren LLP</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3 World Trade Center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175 Greenwich Street New York, NY 10007</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(212) 808-7540 Attention: Michael A. Adelstein, Esq.</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madelstein@kelleydrye.com</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copies of notices sent to the lead Buyer. Written confirmation of receipt</w:t>
      </w:r>
    </w:p>
    <w:p>
      <w:pPr>
        <w:spacing w:after="0" w:line="3" w:lineRule="exact"/>
        <w:rPr>
          <w:sz w:val="20"/>
          <w:szCs w:val="20"/>
          <w:color w:val="auto"/>
        </w:rPr>
      </w:pPr>
    </w:p>
    <w:p>
      <w:pPr>
        <w:jc w:val="both"/>
        <w:ind w:firstLine="8"/>
        <w:spacing w:after="0" w:line="249" w:lineRule="auto"/>
        <w:tabs>
          <w:tab w:leader="none" w:pos="40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jc w:val="both"/>
        <w:ind w:firstLine="655"/>
        <w:spacing w:after="0" w:line="250" w:lineRule="auto"/>
        <w:tabs>
          <w:tab w:leader="none" w:pos="129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 respective successors and assigns, including any purchasers of any of the Notes (but excluding any purchasers of Underlying Securities, unless pursuant to a written assignment by such Buyer). The Company shall not assign this Agreement or any rights or obligations hereunder without the prior written consent of the Required Holders, including, without limitation, by way of a Fundamental Transaction (unless the Company is in compliance with the applicable provisions governing Fundamental Transactions set forth in the Notes). A Buyer may assign some or all of its rights hereunder in connection with any transfer of any of its Securities without</w:t>
      </w:r>
    </w:p>
    <w:p>
      <w:pPr>
        <w:sectPr>
          <w:pgSz w:w="11900" w:h="16838" w:orient="portrait"/>
          <w:cols w:equalWidth="0" w:num="1">
            <w:col w:w="10920"/>
          </w:cols>
          <w:pgMar w:left="320" w:top="1440" w:right="659" w:bottom="1440" w:gutter="0" w:footer="0" w:header="0"/>
        </w:sectPr>
      </w:pPr>
    </w:p>
    <w:bookmarkStart w:id="258" w:name="page259"/>
    <w:bookmarkEnd w:id="258"/>
    <w:p>
      <w:pPr>
        <w:spacing w:after="0" w:line="5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consent of the Company to any Affiliates, partners, limited partners or members of such Buyer, in which event such assignee shall be deemed to be a Buyer hereunder with respect to such assigned rights.</w:t>
      </w:r>
    </w:p>
    <w:p>
      <w:pPr>
        <w:spacing w:after="0" w:line="171" w:lineRule="exact"/>
        <w:rPr>
          <w:sz w:val="20"/>
          <w:szCs w:val="20"/>
          <w:color w:val="auto"/>
        </w:rPr>
      </w:pPr>
    </w:p>
    <w:p>
      <w:pPr>
        <w:jc w:val="both"/>
        <w:ind w:firstLine="655"/>
        <w:spacing w:after="0" w:line="257" w:lineRule="auto"/>
        <w:tabs>
          <w:tab w:leader="none" w:pos="129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xml:space="preserve">. This Agreement is intended for the benefit of the parties hereto and their respective permitted successors and assigns, and is not for the benefit of, nor may any provision hereof be enforced by, any other Person, other than the Indemnitees referred to in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firstLine="655"/>
        <w:spacing w:after="0" w:line="271" w:lineRule="auto"/>
        <w:tabs>
          <w:tab w:leader="none" w:pos="128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representations, warranties, agreements and covenants shall survive each Closing. Each Buyer shall be responsible only for its own representations, warranties, agreements and covenants hereunder.</w:t>
      </w:r>
    </w:p>
    <w:p>
      <w:pPr>
        <w:spacing w:after="0" w:line="171" w:lineRule="exact"/>
        <w:rPr>
          <w:rFonts w:ascii="Times New Roman" w:cs="Times New Roman" w:eastAsia="Times New Roman" w:hAnsi="Times New Roman"/>
          <w:sz w:val="22"/>
          <w:szCs w:val="22"/>
          <w:color w:val="auto"/>
        </w:rPr>
      </w:pPr>
    </w:p>
    <w:p>
      <w:pPr>
        <w:jc w:val="both"/>
        <w:ind w:firstLine="655"/>
        <w:spacing w:after="0" w:line="252" w:lineRule="auto"/>
        <w:tabs>
          <w:tab w:leader="none" w:pos="128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726"/>
        <w:spacing w:after="0" w:line="246" w:lineRule="auto"/>
        <w:tabs>
          <w:tab w:leader="none" w:pos="1945"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w:t>
      </w:r>
      <w:r>
        <w:rPr>
          <w:rFonts w:ascii="Times New Roman" w:cs="Times New Roman" w:eastAsia="Times New Roman" w:hAnsi="Times New Roman"/>
          <w:sz w:val="22"/>
          <w:szCs w:val="22"/>
          <w:u w:val="single" w:color="auto"/>
          <w:color w:val="auto"/>
        </w:rPr>
        <w:t>Section 4(l)</w:t>
      </w:r>
      <w:r>
        <w:rPr>
          <w:rFonts w:ascii="Times New Roman" w:cs="Times New Roman" w:eastAsia="Times New Roman" w:hAnsi="Times New Roman"/>
          <w:sz w:val="22"/>
          <w:szCs w:val="22"/>
          <w:color w:val="auto"/>
        </w:rPr>
        <w:t>, or (D) the status of such Buyer or holder of the Securities either as an investor in the Company pursuant to the transactions contemplated by the Transaction Documents or as a party to this Agreement (including, without</w:t>
      </w:r>
    </w:p>
    <w:p>
      <w:pPr>
        <w:sectPr>
          <w:pgSz w:w="11900" w:h="16838" w:orient="portrait"/>
          <w:cols w:equalWidth="0" w:num="1">
            <w:col w:w="10920"/>
          </w:cols>
          <w:pgMar w:left="320" w:top="1440" w:right="659" w:bottom="1440" w:gutter="0" w:footer="0" w:header="0"/>
        </w:sectPr>
      </w:pPr>
    </w:p>
    <w:bookmarkStart w:id="259" w:name="page260"/>
    <w:bookmarkEnd w:id="259"/>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76" w:lineRule="exact"/>
        <w:rPr>
          <w:sz w:val="20"/>
          <w:szCs w:val="20"/>
          <w:color w:val="auto"/>
        </w:rPr>
      </w:pPr>
    </w:p>
    <w:p>
      <w:pPr>
        <w:jc w:val="both"/>
        <w:ind w:firstLine="1292"/>
        <w:spacing w:after="0" w:line="246" w:lineRule="auto"/>
        <w:tabs>
          <w:tab w:leader="none" w:pos="193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by an Indemnitee under this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xml:space="preserve"> of notice of the commencement of any action or proceeding (including any governmental action or proceeding) involving an Indemnified Liability, such Indemnitee shall, if a claim in respect thereof is to be made against the Company under this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w:t>
      </w:r>
    </w:p>
    <w:p>
      <w:pPr>
        <w:sectPr>
          <w:pgSz w:w="11900" w:h="16838" w:orient="portrait"/>
          <w:cols w:equalWidth="0" w:num="1">
            <w:col w:w="10260"/>
          </w:cols>
          <w:pgMar w:left="980" w:top="1440" w:right="659" w:bottom="1440" w:gutter="0" w:footer="0" w:header="0"/>
        </w:sectPr>
      </w:pPr>
    </w:p>
    <w:bookmarkStart w:id="260" w:name="page261"/>
    <w:bookmarkEnd w:id="260"/>
    <w:p>
      <w:pPr>
        <w:spacing w:after="0" w:line="198" w:lineRule="exact"/>
        <w:rPr>
          <w:sz w:val="20"/>
          <w:szCs w:val="20"/>
          <w:color w:val="auto"/>
        </w:rPr>
      </w:pPr>
    </w:p>
    <w:p>
      <w:pPr>
        <w:ind w:left="5"/>
        <w:spacing w:after="0" w:line="271" w:lineRule="auto"/>
        <w:rPr>
          <w:sz w:val="20"/>
          <w:szCs w:val="20"/>
          <w:color w:val="auto"/>
        </w:rPr>
      </w:pPr>
      <w:r>
        <w:rPr>
          <w:rFonts w:ascii="Times New Roman" w:cs="Times New Roman" w:eastAsia="Times New Roman" w:hAnsi="Times New Roman"/>
          <w:sz w:val="22"/>
          <w:szCs w:val="22"/>
          <w:color w:val="auto"/>
        </w:rPr>
        <w:t xml:space="preserve">any liability to the Indemnitee under this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except to the extent that the Company is materially and adversely prejudiced in its ability to defend such action.</w:t>
      </w:r>
    </w:p>
    <w:p>
      <w:pPr>
        <w:spacing w:after="0" w:line="158" w:lineRule="exact"/>
        <w:rPr>
          <w:sz w:val="20"/>
          <w:szCs w:val="20"/>
          <w:color w:val="auto"/>
        </w:rPr>
      </w:pPr>
    </w:p>
    <w:p>
      <w:pPr>
        <w:jc w:val="both"/>
        <w:ind w:left="5" w:firstLine="1292"/>
        <w:spacing w:after="0" w:line="263" w:lineRule="auto"/>
        <w:tabs>
          <w:tab w:leader="none" w:pos="1949"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required by this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xml:space="preserve"> shall be made by periodic payments of the amount thereof during the course of the investigation or defense, within ten (10) days after bills are received or Indemnified Liabilities are incurred.</w:t>
      </w:r>
    </w:p>
    <w:p>
      <w:pPr>
        <w:spacing w:after="0" w:line="167" w:lineRule="exact"/>
        <w:rPr>
          <w:rFonts w:ascii="Times New Roman" w:cs="Times New Roman" w:eastAsia="Times New Roman" w:hAnsi="Times New Roman"/>
          <w:sz w:val="22"/>
          <w:szCs w:val="22"/>
          <w:color w:val="auto"/>
        </w:rPr>
      </w:pPr>
    </w:p>
    <w:p>
      <w:pPr>
        <w:ind w:left="1925" w:hanging="628"/>
        <w:spacing w:after="0"/>
        <w:tabs>
          <w:tab w:leader="none" w:pos="1925"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agreement contained herein shall be in addition to</w:t>
      </w:r>
    </w:p>
    <w:p>
      <w:pPr>
        <w:spacing w:after="0" w:line="27" w:lineRule="exact"/>
        <w:rPr>
          <w:rFonts w:ascii="Times New Roman" w:cs="Times New Roman" w:eastAsia="Times New Roman" w:hAnsi="Times New Roman"/>
          <w:sz w:val="22"/>
          <w:szCs w:val="22"/>
          <w:color w:val="auto"/>
        </w:rPr>
      </w:pPr>
    </w:p>
    <w:p>
      <w:pPr>
        <w:ind w:left="5" w:right="320" w:hanging="4"/>
        <w:spacing w:after="0" w:line="248" w:lineRule="auto"/>
        <w:tabs>
          <w:tab w:leader="none" w:pos="359"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cause of action or similar right of the Indemnitee against the Company or others, and (B) any liabilities the Company may be subject to pursuant to the law.</w:t>
      </w:r>
    </w:p>
    <w:p>
      <w:pPr>
        <w:spacing w:after="0" w:line="195" w:lineRule="exact"/>
        <w:rPr>
          <w:rFonts w:ascii="Times New Roman" w:cs="Times New Roman" w:eastAsia="Times New Roman" w:hAnsi="Times New Roman"/>
          <w:sz w:val="22"/>
          <w:szCs w:val="22"/>
          <w:color w:val="auto"/>
        </w:rPr>
      </w:pPr>
    </w:p>
    <w:p>
      <w:pPr>
        <w:jc w:val="both"/>
        <w:ind w:left="-655" w:firstLine="655"/>
        <w:spacing w:after="0" w:line="260" w:lineRule="auto"/>
        <w:tabs>
          <w:tab w:leader="none" w:pos="628"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xml:space="preserve">.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Ordinary Shares and any other numbers in this Agreement that relate to the Ordinary Shares shall be automatically adjusted for any share subdivision, share dividends, share combinations or consolidation, recapitalizations or other similar transactions that occur with respect to the Ordinary Shares, after the date of this Agreement. Notwithstanding anything in this Agreement to the contrary but subject to </w:t>
      </w:r>
      <w:r>
        <w:rPr>
          <w:rFonts w:ascii="Times New Roman" w:cs="Times New Roman" w:eastAsia="Times New Roman" w:hAnsi="Times New Roman"/>
          <w:sz w:val="21"/>
          <w:szCs w:val="21"/>
          <w:u w:val="single" w:color="auto"/>
          <w:color w:val="auto"/>
        </w:rPr>
        <w:t>Section 4(x)</w:t>
      </w:r>
      <w:r>
        <w:rPr>
          <w:rFonts w:ascii="Times New Roman" w:cs="Times New Roman" w:eastAsia="Times New Roman" w:hAnsi="Times New Roman"/>
          <w:sz w:val="21"/>
          <w:szCs w:val="21"/>
          <w:color w:val="auto"/>
        </w:rPr>
        <w:t>,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1" w:lineRule="exact"/>
        <w:rPr>
          <w:rFonts w:ascii="Times New Roman" w:cs="Times New Roman" w:eastAsia="Times New Roman" w:hAnsi="Times New Roman"/>
          <w:sz w:val="21"/>
          <w:szCs w:val="21"/>
          <w:color w:val="auto"/>
        </w:rPr>
      </w:pPr>
    </w:p>
    <w:p>
      <w:pPr>
        <w:jc w:val="both"/>
        <w:ind w:left="-655" w:firstLine="655"/>
        <w:spacing w:after="0" w:line="260" w:lineRule="auto"/>
        <w:tabs>
          <w:tab w:leader="none" w:pos="628"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ectPr>
          <w:pgSz w:w="11900" w:h="16838" w:orient="portrait"/>
          <w:cols w:equalWidth="0" w:num="1">
            <w:col w:w="10265"/>
          </w:cols>
          <w:pgMar w:left="975" w:top="1440" w:right="659" w:bottom="1440" w:gutter="0" w:footer="0" w:header="0"/>
        </w:sectPr>
      </w:pPr>
    </w:p>
    <w:bookmarkStart w:id="261" w:name="page262"/>
    <w:bookmarkEnd w:id="261"/>
    <w:p>
      <w:pPr>
        <w:spacing w:after="0" w:line="200" w:lineRule="exact"/>
        <w:rPr>
          <w:sz w:val="20"/>
          <w:szCs w:val="20"/>
          <w:color w:val="auto"/>
        </w:rPr>
      </w:pPr>
    </w:p>
    <w:p>
      <w:pPr>
        <w:spacing w:after="0" w:line="309" w:lineRule="exact"/>
        <w:rPr>
          <w:sz w:val="20"/>
          <w:szCs w:val="20"/>
          <w:color w:val="auto"/>
        </w:rPr>
      </w:pPr>
    </w:p>
    <w:p>
      <w:pPr>
        <w:jc w:val="both"/>
        <w:ind w:left="-655" w:firstLine="655"/>
        <w:spacing w:after="0" w:line="251" w:lineRule="auto"/>
        <w:tabs>
          <w:tab w:leader="none" w:pos="63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Right</w:t>
      </w:r>
      <w:r>
        <w:rPr>
          <w:rFonts w:ascii="Times New Roman" w:cs="Times New Roman" w:eastAsia="Times New Roman" w:hAnsi="Times New Roman"/>
          <w:sz w:val="22"/>
          <w:szCs w:val="22"/>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1" w:lineRule="exact"/>
        <w:rPr>
          <w:rFonts w:ascii="Times New Roman" w:cs="Times New Roman" w:eastAsia="Times New Roman" w:hAnsi="Times New Roman"/>
          <w:sz w:val="22"/>
          <w:szCs w:val="22"/>
          <w:color w:val="auto"/>
        </w:rPr>
      </w:pPr>
    </w:p>
    <w:p>
      <w:pPr>
        <w:jc w:val="both"/>
        <w:ind w:left="-655" w:firstLine="655"/>
        <w:spacing w:after="0" w:line="248" w:lineRule="auto"/>
        <w:tabs>
          <w:tab w:leader="none" w:pos="63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Set Aside; Currency</w:t>
      </w:r>
      <w:r>
        <w:rPr>
          <w:rFonts w:ascii="Times New Roman" w:cs="Times New Roman" w:eastAsia="Times New Roman" w:hAnsi="Times New Roman"/>
          <w:sz w:val="22"/>
          <w:szCs w:val="22"/>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22"/>
          <w:szCs w:val="22"/>
          <w:b w:val="1"/>
          <w:bCs w:val="1"/>
          <w:color w:val="auto"/>
        </w:rPr>
        <w:t>U.S. Dollars</w:t>
      </w:r>
      <w:r>
        <w:rPr>
          <w:rFonts w:ascii="Times New Roman" w:cs="Times New Roman" w:eastAsia="Times New Roman" w:hAnsi="Times New Roman"/>
          <w:sz w:val="22"/>
          <w:szCs w:val="22"/>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22"/>
          <w:szCs w:val="22"/>
          <w:b w:val="1"/>
          <w:bCs w:val="1"/>
          <w:color w:val="auto"/>
        </w:rPr>
        <w:t>Exchange Rate</w:t>
      </w:r>
      <w:r>
        <w:rPr>
          <w:rFonts w:ascii="Times New Roman" w:cs="Times New Roman" w:eastAsia="Times New Roman" w:hAnsi="Times New Roman"/>
          <w:sz w:val="22"/>
          <w:szCs w:val="22"/>
          <w:color w:val="auto"/>
        </w:rPr>
        <w:t>” means, in relation to any amount of currency to be converted into U.S. Dollars pursuant to this Agreement, the U.S. Dollar exchange rate as published in the Wall Street Journal on the relevant date of calculation.</w:t>
      </w:r>
    </w:p>
    <w:p>
      <w:pPr>
        <w:spacing w:after="0" w:line="187"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 w:firstLine="644"/>
        <w:spacing w:after="0" w:line="253" w:lineRule="auto"/>
        <w:tabs>
          <w:tab w:leader="none" w:pos="1289"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the purpose of obtaining or enforcing judgment against the Company in connection with this Agreement or any other Transaction Document in any court in any jurisdiction it becomes necessary to convert into any other currency (such other currency being hereinafter in this </w:t>
      </w:r>
      <w:r>
        <w:rPr>
          <w:rFonts w:ascii="Times New Roman" w:cs="Times New Roman" w:eastAsia="Times New Roman" w:hAnsi="Times New Roman"/>
          <w:sz w:val="22"/>
          <w:szCs w:val="22"/>
          <w:u w:val="single" w:color="auto"/>
          <w:color w:val="auto"/>
        </w:rPr>
        <w:t>Section 9(p)</w:t>
      </w:r>
      <w:r>
        <w:rPr>
          <w:rFonts w:ascii="Times New Roman" w:cs="Times New Roman" w:eastAsia="Times New Roman" w:hAnsi="Times New Roman"/>
          <w:sz w:val="22"/>
          <w:szCs w:val="22"/>
          <w:color w:val="auto"/>
        </w:rPr>
        <w:t xml:space="preserve"> referred to as the “</w:t>
      </w:r>
      <w:r>
        <w:rPr>
          <w:rFonts w:ascii="Times New Roman" w:cs="Times New Roman" w:eastAsia="Times New Roman" w:hAnsi="Times New Roman"/>
          <w:sz w:val="22"/>
          <w:szCs w:val="22"/>
          <w:b w:val="1"/>
          <w:bCs w:val="1"/>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an amount due in US Dollars under this Agreement, the conversion shall be made at the Exchange 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prevailing on the Trading Day immediately preceding:</w:t>
      </w:r>
    </w:p>
    <w:p>
      <w:pPr>
        <w:spacing w:after="0" w:line="178" w:lineRule="exact"/>
        <w:rPr>
          <w:rFonts w:ascii="Times New Roman" w:cs="Times New Roman" w:eastAsia="Times New Roman" w:hAnsi="Times New Roman"/>
          <w:sz w:val="22"/>
          <w:szCs w:val="22"/>
          <w:color w:val="auto"/>
        </w:rPr>
      </w:pPr>
    </w:p>
    <w:p>
      <w:pPr>
        <w:jc w:val="both"/>
        <w:ind w:left="645" w:firstLine="1300"/>
        <w:spacing w:after="0" w:line="263" w:lineRule="auto"/>
        <w:tabs>
          <w:tab w:leader="none" w:pos="2584"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actual payment of the amount due, in the case of any proceeding in the courts of New York or in the courts of any other jurisdiction that will give effect to such conversion being made on such date: or</w:t>
      </w:r>
    </w:p>
    <w:p>
      <w:pPr>
        <w:spacing w:after="0" w:line="167" w:lineRule="exact"/>
        <w:rPr>
          <w:rFonts w:ascii="Times New Roman" w:cs="Times New Roman" w:eastAsia="Times New Roman" w:hAnsi="Times New Roman"/>
          <w:sz w:val="22"/>
          <w:szCs w:val="22"/>
          <w:color w:val="auto"/>
        </w:rPr>
      </w:pPr>
    </w:p>
    <w:p>
      <w:pPr>
        <w:ind w:left="645" w:firstLine="1300"/>
        <w:spacing w:after="0" w:line="271" w:lineRule="auto"/>
        <w:tabs>
          <w:tab w:leader="none" w:pos="2584"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foreign court determines, in the case of any proceeding in the courts of any other jurisdiction (the date</w:t>
      </w:r>
    </w:p>
    <w:p>
      <w:pPr>
        <w:sectPr>
          <w:pgSz w:w="11900" w:h="16838" w:orient="portrait"/>
          <w:cols w:equalWidth="0" w:num="1">
            <w:col w:w="10265"/>
          </w:cols>
          <w:pgMar w:left="975" w:top="1440" w:right="659" w:bottom="1440" w:gutter="0" w:footer="0" w:header="0"/>
        </w:sectPr>
      </w:pPr>
    </w:p>
    <w:bookmarkStart w:id="262" w:name="page263"/>
    <w:bookmarkEnd w:id="262"/>
    <w:p>
      <w:pPr>
        <w:spacing w:after="0" w:line="198" w:lineRule="exact"/>
        <w:rPr>
          <w:sz w:val="20"/>
          <w:szCs w:val="20"/>
          <w:color w:val="auto"/>
        </w:rPr>
      </w:pPr>
    </w:p>
    <w:p>
      <w:pPr>
        <w:ind w:left="645" w:right="20"/>
        <w:spacing w:after="0" w:line="271" w:lineRule="auto"/>
        <w:rPr>
          <w:sz w:val="20"/>
          <w:szCs w:val="20"/>
          <w:color w:val="auto"/>
        </w:rPr>
      </w:pPr>
      <w:r>
        <w:rPr>
          <w:rFonts w:ascii="Times New Roman" w:cs="Times New Roman" w:eastAsia="Times New Roman" w:hAnsi="Times New Roman"/>
          <w:sz w:val="22"/>
          <w:szCs w:val="22"/>
          <w:color w:val="auto"/>
        </w:rPr>
        <w:t xml:space="preserve">as of which such conversion is made pursuant to this </w:t>
      </w:r>
      <w:r>
        <w:rPr>
          <w:rFonts w:ascii="Times New Roman" w:cs="Times New Roman" w:eastAsia="Times New Roman" w:hAnsi="Times New Roman"/>
          <w:sz w:val="22"/>
          <w:szCs w:val="22"/>
          <w:u w:val="single" w:color="auto"/>
          <w:color w:val="auto"/>
        </w:rPr>
        <w:t>Section 9(p)(i)(2)</w:t>
      </w:r>
      <w:r>
        <w:rPr>
          <w:rFonts w:ascii="Times New Roman" w:cs="Times New Roman" w:eastAsia="Times New Roman" w:hAnsi="Times New Roman"/>
          <w:sz w:val="22"/>
          <w:szCs w:val="22"/>
          <w:color w:val="auto"/>
        </w:rPr>
        <w:t xml:space="preserve"> being hereinafter referred to as the “</w:t>
      </w:r>
      <w:r>
        <w:rPr>
          <w:rFonts w:ascii="Times New Roman" w:cs="Times New Roman" w:eastAsia="Times New Roman" w:hAnsi="Times New Roman"/>
          <w:sz w:val="22"/>
          <w:szCs w:val="22"/>
          <w:b w:val="1"/>
          <w:bCs w:val="1"/>
          <w:color w:val="auto"/>
        </w:rPr>
        <w:t>Judgment Conversion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5" w:firstLine="644"/>
        <w:spacing w:after="0" w:line="251" w:lineRule="auto"/>
        <w:tabs>
          <w:tab w:leader="none" w:pos="129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 the case of any proceeding in the court of any jurisdiction referred to in </w:t>
      </w:r>
      <w:r>
        <w:rPr>
          <w:rFonts w:ascii="Times New Roman" w:cs="Times New Roman" w:eastAsia="Times New Roman" w:hAnsi="Times New Roman"/>
          <w:sz w:val="22"/>
          <w:szCs w:val="22"/>
          <w:u w:val="single" w:color="auto"/>
          <w:color w:val="auto"/>
        </w:rPr>
        <w:t>Section 9(p)(i)(2)</w:t>
      </w:r>
      <w:r>
        <w:rPr>
          <w:rFonts w:ascii="Times New Roman" w:cs="Times New Roman" w:eastAsia="Times New Roman" w:hAnsi="Times New Roman"/>
          <w:sz w:val="22"/>
          <w:szCs w:val="22"/>
          <w:color w:val="auto"/>
        </w:rPr>
        <w:t xml:space="preserve">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94" w:lineRule="exact"/>
        <w:rPr>
          <w:rFonts w:ascii="Times New Roman" w:cs="Times New Roman" w:eastAsia="Times New Roman" w:hAnsi="Times New Roman"/>
          <w:sz w:val="22"/>
          <w:szCs w:val="22"/>
          <w:color w:val="auto"/>
        </w:rPr>
      </w:pPr>
    </w:p>
    <w:p>
      <w:pPr>
        <w:jc w:val="both"/>
        <w:ind w:left="5" w:firstLine="644"/>
        <w:spacing w:after="0" w:line="257" w:lineRule="auto"/>
        <w:tabs>
          <w:tab w:leader="none" w:pos="130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72" w:lineRule="exact"/>
        <w:rPr>
          <w:rFonts w:ascii="Times New Roman" w:cs="Times New Roman" w:eastAsia="Times New Roman" w:hAnsi="Times New Roman"/>
          <w:sz w:val="22"/>
          <w:szCs w:val="22"/>
          <w:color w:val="auto"/>
        </w:rPr>
      </w:pPr>
    </w:p>
    <w:p>
      <w:pPr>
        <w:jc w:val="both"/>
        <w:ind w:left="-655" w:firstLine="655"/>
        <w:spacing w:after="0" w:line="247" w:lineRule="auto"/>
        <w:tabs>
          <w:tab w:leader="none" w:pos="63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Nature of Buyers’ Obligations and Rights</w:t>
      </w:r>
      <w:r>
        <w:rPr>
          <w:rFonts w:ascii="Times New Roman" w:cs="Times New Roman" w:eastAsia="Times New Roman" w:hAnsi="Times New Roman"/>
          <w:sz w:val="22"/>
          <w:szCs w:val="22"/>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w:t>
      </w:r>
    </w:p>
    <w:p>
      <w:pPr>
        <w:sectPr>
          <w:pgSz w:w="11900" w:h="16838" w:orient="portrait"/>
          <w:cols w:equalWidth="0" w:num="1">
            <w:col w:w="10265"/>
          </w:cols>
          <w:pgMar w:left="975" w:top="1440" w:right="659" w:bottom="1440" w:gutter="0" w:footer="0" w:header="0"/>
        </w:sectPr>
      </w:pPr>
    </w:p>
    <w:bookmarkStart w:id="263" w:name="page264"/>
    <w:bookmarkEnd w:id="263"/>
    <w:p>
      <w:pPr>
        <w:spacing w:after="0" w:line="19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Company, each Subsidiary and a Buyer, solely, and not between the Company, its Subsidiaries and the Buyers collectively and not between and among the Buyers.</w:t>
      </w:r>
    </w:p>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Buyer and the Company have caused their respective signature page to this Agreement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executed as of the date first written above.</w:t>
      </w:r>
    </w:p>
    <w:p>
      <w:pPr>
        <w:spacing w:after="0" w:line="17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Ziyu Shen</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Ziyu Shen Title: Director</w:t>
      </w:r>
    </w:p>
    <w:p>
      <w:pPr>
        <w:spacing w:after="0" w:line="200" w:lineRule="exact"/>
        <w:rPr>
          <w:sz w:val="20"/>
          <w:szCs w:val="20"/>
          <w:color w:val="auto"/>
        </w:rPr>
      </w:pPr>
    </w:p>
    <w:p>
      <w:pPr>
        <w:spacing w:after="0" w:line="27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ATW MOBILITY SPV LLC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20"/>
        <w:spacing w:after="0"/>
        <w:tabs>
          <w:tab w:leader="none" w:pos="4580" w:val="left"/>
          <w:tab w:leader="none" w:pos="7140" w:val="left"/>
        </w:tabs>
        <w:rPr>
          <w:sz w:val="20"/>
          <w:szCs w:val="20"/>
          <w:color w:val="auto"/>
        </w:rPr>
      </w:pPr>
      <w:r>
        <w:rPr>
          <w:rFonts w:ascii="Times New Roman" w:cs="Times New Roman" w:eastAsia="Times New Roman" w:hAnsi="Times New Roman"/>
          <w:sz w:val="22"/>
          <w:szCs w:val="22"/>
          <w:color w:val="auto"/>
        </w:rPr>
        <w:t>By:</w:t>
        <w:tab/>
        <w:t>/s/ Antonio Ruiz-Gimenez</w:t>
      </w:r>
      <w:r>
        <w:rPr>
          <w:sz w:val="20"/>
          <w:szCs w:val="20"/>
          <w:color w:val="auto"/>
        </w:rPr>
        <w:tab/>
      </w:r>
      <w:r>
        <w:rPr>
          <w:rFonts w:ascii="Times New Roman" w:cs="Times New Roman" w:eastAsia="Times New Roman" w:hAnsi="Times New Roman"/>
          <w:sz w:val="21"/>
          <w:szCs w:val="21"/>
          <w:color w:val="auto"/>
        </w:rPr>
        <w:t>Name: Antonio Ruiz-Gimenez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-13970</wp:posOffset>
            </wp:positionV>
            <wp:extent cx="17221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1722120" cy="8890"/>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Managing Member</w:t>
      </w:r>
    </w:p>
    <w:p>
      <w:pPr>
        <w:sectPr>
          <w:pgSz w:w="11900" w:h="16838" w:orient="portrait"/>
          <w:cols w:equalWidth="0" w:num="1">
            <w:col w:w="10980"/>
          </w:cols>
          <w:pgMar w:left="320" w:top="1440" w:right="59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Securities Purchase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OF BUYERS</w:t>
      </w:r>
    </w:p>
    <w:p>
      <w:pPr>
        <w:sectPr>
          <w:pgSz w:w="11900" w:h="16838" w:orient="portrait"/>
          <w:cols w:equalWidth="0" w:num="1">
            <w:col w:w="9019"/>
          </w:cols>
          <w:pgMar w:left="1440" w:top="1440" w:right="1440" w:bottom="1440" w:gutter="0" w:footer="0" w:header="0"/>
          <w:type w:val="continuous"/>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16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Subsidiaries of ECARX Holdings Inc.</w:t>
            </w:r>
          </w:p>
        </w:tc>
        <w:tc>
          <w:tcPr>
            <w:tcW w:w="3080" w:type="dxa"/>
            <w:vAlign w:val="bottom"/>
          </w:tcPr>
          <w:p>
            <w:pPr>
              <w:spacing w:after="0"/>
              <w:rPr>
                <w:sz w:val="20"/>
                <w:szCs w:val="20"/>
                <w:color w:val="auto"/>
              </w:rPr>
            </w:pPr>
          </w:p>
        </w:tc>
      </w:tr>
      <w:tr>
        <w:trPr>
          <w:trHeight w:val="229"/>
        </w:trPr>
        <w:tc>
          <w:tcPr>
            <w:tcW w:w="81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r>
      <w:tr>
        <w:trPr>
          <w:trHeight w:val="223"/>
        </w:trPr>
        <w:tc>
          <w:tcPr>
            <w:tcW w:w="8160" w:type="dxa"/>
            <w:vAlign w:val="bottom"/>
            <w:tcBorders>
              <w:left w:val="single" w:sz="8" w:color="auto"/>
              <w:bottom w:val="single" w:sz="8" w:color="auto"/>
              <w:right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3080" w:type="dxa"/>
            <w:vAlign w:val="bottom"/>
            <w:tcBorders>
              <w:bottom w:val="single" w:sz="8" w:color="auto"/>
              <w:right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Group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Future Magic Capital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Ecarx&amp;Co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Mobile &amp; Magic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Technology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Limited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Sweden AB</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HF Tech Europe AB</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GmbH</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SDN. BHD.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Americas Inc.</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Pte.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Technology Pte.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Brasil Ltda.</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(Zhejiang) Technology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(Hubei) Tech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(Shanghai) Tech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ECARX (Shanghai) Smart Tech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Hangzhou ECARX Advanced Manufacturing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JICA Intelligent Robotics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JICA Automotive Electronics (Hangzhou) Technology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Suzhou Photon-Matrix Optoelectronics Technology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23"/>
        </w:trPr>
        <w:tc>
          <w:tcPr>
            <w:tcW w:w="8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Hubei Dongjun Automotive Electronic Technology Co., Ltd.</w:t>
            </w: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r>
    </w:tbl>
    <w:p>
      <w:pPr>
        <w:sectPr>
          <w:pgSz w:w="11900" w:h="16838" w:orient="portrait"/>
          <w:cols w:equalWidth="0" w:num="1">
            <w:col w:w="11240"/>
          </w:cols>
          <w:pgMar w:left="320" w:top="104"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ind w:left="2724"/>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Ziyu Shen, certify that:</w:t>
      </w:r>
    </w:p>
    <w:p>
      <w:pPr>
        <w:spacing w:after="0" w:line="225" w:lineRule="exact"/>
        <w:rPr>
          <w:sz w:val="20"/>
          <w:szCs w:val="20"/>
          <w:color w:val="auto"/>
        </w:rPr>
      </w:pPr>
    </w:p>
    <w:p>
      <w:pPr>
        <w:ind w:left="324" w:hanging="324"/>
        <w:spacing w:after="0"/>
        <w:tabs>
          <w:tab w:leader="none" w:pos="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ECARX Holdings Inc.;</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76" w:lineRule="auto"/>
        <w:tabs>
          <w:tab w:leader="none" w:pos="324"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207" w:lineRule="exact"/>
        <w:rPr>
          <w:sz w:val="20"/>
          <w:szCs w:val="20"/>
          <w:color w:val="auto"/>
        </w:rPr>
      </w:pPr>
    </w:p>
    <w:p>
      <w:pPr>
        <w:jc w:val="both"/>
        <w:ind w:left="324" w:hanging="324"/>
        <w:spacing w:after="0" w:line="266" w:lineRule="auto"/>
        <w:tabs>
          <w:tab w:leader="none" w:pos="32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1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1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left="324" w:hanging="324"/>
        <w:spacing w:after="0" w:line="266" w:lineRule="auto"/>
        <w:tabs>
          <w:tab w:leader="none" w:pos="3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left="324" w:right="20" w:hanging="324"/>
        <w:spacing w:after="0" w:line="282" w:lineRule="auto"/>
        <w:tabs>
          <w:tab w:leader="none" w:pos="32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20" w:lineRule="exact"/>
        <w:rPr>
          <w:sz w:val="20"/>
          <w:szCs w:val="20"/>
          <w:color w:val="auto"/>
        </w:rPr>
      </w:pPr>
    </w:p>
    <w:tbl>
      <w:tblPr>
        <w:tblLayout w:type="fixed"/>
        <w:tblInd w:w="24"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Ziyu Shen</w:t>
            </w: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Ziyu Shen</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584"/>
          </w:cols>
          <w:pgMar w:left="976" w:top="1143"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Ziyu Shen, certify that:</w:t>
      </w:r>
    </w:p>
    <w:p>
      <w:pPr>
        <w:spacing w:after="0" w:line="225" w:lineRule="exact"/>
        <w:rPr>
          <w:sz w:val="20"/>
          <w:szCs w:val="20"/>
          <w:color w:val="auto"/>
        </w:rPr>
      </w:pPr>
    </w:p>
    <w:p>
      <w:pPr>
        <w:ind w:left="700" w:hanging="404"/>
        <w:spacing w:after="0"/>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ECARX Holdings Inc.;</w:t>
      </w:r>
    </w:p>
    <w:p>
      <w:pPr>
        <w:spacing w:after="0" w:line="171" w:lineRule="exact"/>
        <w:rPr>
          <w:rFonts w:ascii="Times New Roman" w:cs="Times New Roman" w:eastAsia="Times New Roman" w:hAnsi="Times New Roman"/>
          <w:sz w:val="18"/>
          <w:szCs w:val="18"/>
          <w:color w:val="auto"/>
        </w:rPr>
      </w:pPr>
    </w:p>
    <w:p>
      <w:pPr>
        <w:jc w:val="both"/>
        <w:ind w:left="700" w:hanging="404"/>
        <w:spacing w:after="0" w:line="266" w:lineRule="auto"/>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0" w:hanging="404"/>
        <w:spacing w:after="0" w:line="282" w:lineRule="auto"/>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700" w:hanging="404"/>
        <w:spacing w:after="0" w:line="266" w:lineRule="auto"/>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68" w:lineRule="exact"/>
        <w:rPr>
          <w:sz w:val="20"/>
          <w:szCs w:val="20"/>
          <w:color w:val="auto"/>
        </w:rPr>
      </w:pPr>
    </w:p>
    <w:p>
      <w:pPr>
        <w:jc w:val="both"/>
        <w:ind w:left="700" w:hanging="404"/>
        <w:spacing w:after="0" w:line="266" w:lineRule="auto"/>
        <w:tabs>
          <w:tab w:leader="none" w:pos="69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00" w:hanging="404"/>
        <w:spacing w:after="0" w:line="266" w:lineRule="auto"/>
        <w:tabs>
          <w:tab w:leader="none" w:pos="69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00" w:hanging="404"/>
        <w:spacing w:after="0" w:line="282" w:lineRule="auto"/>
        <w:tabs>
          <w:tab w:leader="none" w:pos="69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00" w:hanging="404"/>
        <w:spacing w:after="0" w:line="266" w:lineRule="auto"/>
        <w:tabs>
          <w:tab w:leader="none" w:pos="69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2" w:lineRule="exact"/>
        <w:rPr>
          <w:sz w:val="20"/>
          <w:szCs w:val="20"/>
          <w:color w:val="auto"/>
        </w:rPr>
      </w:pPr>
    </w:p>
    <w:p>
      <w:pPr>
        <w:jc w:val="both"/>
        <w:ind w:left="700" w:hanging="404"/>
        <w:spacing w:after="0" w:line="266" w:lineRule="auto"/>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8" w:lineRule="exact"/>
        <w:rPr>
          <w:sz w:val="20"/>
          <w:szCs w:val="20"/>
          <w:color w:val="auto"/>
        </w:rPr>
      </w:pPr>
    </w:p>
    <w:p>
      <w:pPr>
        <w:ind w:left="700" w:right="20" w:hanging="404"/>
        <w:spacing w:after="0" w:line="282" w:lineRule="auto"/>
        <w:tabs>
          <w:tab w:leader="none" w:pos="69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00" w:hanging="404"/>
        <w:spacing w:after="0" w:line="282" w:lineRule="auto"/>
        <w:tabs>
          <w:tab w:leader="none" w:pos="69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Ziyu Shen</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Ziyu Shen</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acting in the capacity of Chief Financial Officer</w:t>
            </w:r>
          </w:p>
        </w:tc>
      </w:tr>
    </w:tbl>
    <w:p>
      <w:pPr>
        <w:sectPr>
          <w:pgSz w:w="11900" w:h="16838" w:orient="portrait"/>
          <w:cols w:equalWidth="0" w:num="1">
            <w:col w:w="10880"/>
          </w:cols>
          <w:pgMar w:left="680" w:top="1143"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ECARX Holdings Inc. (the “Company”) on Form 20-F for the year ended December 31, 2025 as filed with the Securities and Exchange Commission on the date hereof (the “Report”), I, Ziyu Shen,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060" w:hanging="404"/>
        <w:spacing w:after="0"/>
        <w:tabs>
          <w:tab w:leader="none" w:pos="10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/Ziyu Shen</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Ziyu Shen</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ECARX Holdings Inc. (the “Company”) on Form 20-F for the year ended December 31, 2025 as filed with the Securities and Exchange Commission on the date hereof (the “Report”), I, Ziyu Shen, acting in the capacity of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140" w:hanging="565"/>
        <w:spacing w:after="0"/>
        <w:tabs>
          <w:tab w:leader="none" w:pos="11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40" w:hanging="565"/>
        <w:spacing w:after="0" w:line="282" w:lineRule="auto"/>
        <w:tabs>
          <w:tab w:leader="none" w:pos="113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Ziyu Shen</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Ziyu Shen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acting in the capacity of Chief Financial Officer</w:t>
            </w:r>
          </w:p>
        </w:tc>
      </w:tr>
    </w:tbl>
    <w:p>
      <w:pPr>
        <w:sectPr>
          <w:pgSz w:w="11900" w:h="16838" w:orient="portrait"/>
          <w:cols w:equalWidth="0" w:num="1">
            <w:col w:w="11240"/>
          </w:cols>
          <w:pgMar w:left="320" w:top="1143" w:right="339" w:bottom="1440" w:gutter="0" w:footer="0" w:header="0"/>
        </w:sectPr>
      </w:pPr>
    </w:p>
    <w:bookmarkStart w:id="270" w:name="page271"/>
    <w:bookmarkEnd w:id="270"/>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Our ref </w:t>
      </w:r>
      <w:r>
        <w:rPr>
          <w:rFonts w:ascii="Arial" w:cs="Arial" w:eastAsia="Arial" w:hAnsi="Arial"/>
          <w:sz w:val="19"/>
          <w:szCs w:val="19"/>
          <w:color w:val="auto"/>
        </w:rPr>
        <w:t>SQG/788453-000001/86048283v1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ECARX Holdings Inc.</w:t>
      </w:r>
    </w:p>
    <w:p>
      <w:pPr>
        <w:spacing w:after="0" w:line="219" w:lineRule="auto"/>
        <w:rPr>
          <w:sz w:val="20"/>
          <w:szCs w:val="20"/>
          <w:color w:val="auto"/>
        </w:rPr>
      </w:pPr>
      <w:r>
        <w:rPr>
          <w:rFonts w:ascii="Arial" w:cs="Arial" w:eastAsia="Arial" w:hAnsi="Arial"/>
          <w:sz w:val="18"/>
          <w:szCs w:val="18"/>
          <w:color w:val="auto"/>
        </w:rPr>
        <w:t>PO Box 309</w:t>
      </w:r>
    </w:p>
    <w:p>
      <w:pPr>
        <w:spacing w:after="0" w:line="203" w:lineRule="auto"/>
        <w:rPr>
          <w:sz w:val="20"/>
          <w:szCs w:val="20"/>
          <w:color w:val="auto"/>
        </w:rPr>
      </w:pPr>
      <w:r>
        <w:rPr>
          <w:rFonts w:ascii="Arial" w:cs="Arial" w:eastAsia="Arial" w:hAnsi="Arial"/>
          <w:sz w:val="18"/>
          <w:szCs w:val="18"/>
          <w:color w:val="auto"/>
        </w:rPr>
        <w:t>Ugland House</w:t>
      </w:r>
    </w:p>
    <w:p>
      <w:pPr>
        <w:spacing w:after="0" w:line="204" w:lineRule="auto"/>
        <w:rPr>
          <w:sz w:val="20"/>
          <w:szCs w:val="20"/>
          <w:color w:val="auto"/>
        </w:rPr>
      </w:pPr>
      <w:r>
        <w:rPr>
          <w:rFonts w:ascii="Arial" w:cs="Arial" w:eastAsia="Arial" w:hAnsi="Arial"/>
          <w:sz w:val="18"/>
          <w:szCs w:val="18"/>
          <w:color w:val="auto"/>
        </w:rPr>
        <w:t>Grand Cayman</w:t>
      </w:r>
    </w:p>
    <w:p>
      <w:pPr>
        <w:spacing w:after="0" w:line="219" w:lineRule="auto"/>
        <w:rPr>
          <w:sz w:val="20"/>
          <w:szCs w:val="20"/>
          <w:color w:val="auto"/>
        </w:rPr>
      </w:pPr>
      <w:r>
        <w:rPr>
          <w:rFonts w:ascii="Arial" w:cs="Arial" w:eastAsia="Arial" w:hAnsi="Arial"/>
          <w:sz w:val="18"/>
          <w:szCs w:val="18"/>
          <w:color w:val="auto"/>
        </w:rPr>
        <w:t>KY1-1104</w:t>
      </w:r>
    </w:p>
    <w:p>
      <w:pPr>
        <w:spacing w:after="0"/>
        <w:rPr>
          <w:sz w:val="20"/>
          <w:szCs w:val="20"/>
          <w:color w:val="auto"/>
        </w:rPr>
      </w:pPr>
      <w:r>
        <w:rPr>
          <w:rFonts w:ascii="Arial" w:cs="Arial" w:eastAsia="Arial" w:hAnsi="Arial"/>
          <w:sz w:val="18"/>
          <w:szCs w:val="18"/>
          <w:color w:val="auto"/>
        </w:rPr>
        <w:t>Cayman Islands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30 March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ECARX Holdings Inc.</w:t>
      </w:r>
    </w:p>
    <w:p>
      <w:pPr>
        <w:spacing w:after="0" w:line="21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have acted as legal advisers as to the laws of the Cayman Islands to ECARX Holdings Inc., an exempted company with limited liability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an annual report on Form 20-F for the year ended 31 December 2025 (the “</w:t>
      </w:r>
      <w:r>
        <w:rPr>
          <w:rFonts w:ascii="Arial" w:cs="Arial" w:eastAsia="Arial" w:hAnsi="Arial"/>
          <w:sz w:val="18"/>
          <w:szCs w:val="18"/>
          <w:b w:val="1"/>
          <w:bCs w:val="1"/>
          <w:color w:val="auto"/>
        </w:rPr>
        <w:t>Annual Report</w:t>
      </w:r>
      <w:r>
        <w:rPr>
          <w:rFonts w:ascii="Arial" w:cs="Arial" w:eastAsia="Arial" w:hAnsi="Arial"/>
          <w:sz w:val="18"/>
          <w:szCs w:val="18"/>
          <w:color w:val="auto"/>
        </w:rPr>
        <w:t>”).</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hereby consent to the reference to our firm under the heading "Item 10. Additional Information—E. Taxation—Cayman Islands Tax Considerations" in the Annual Report, and we further consent to the incorporation by reference of the summary of our opinions under this heading into the Company’s registration statement on Form S-8 (File No. 333-269756) that was filed on 14 February 2023, pertaining to the Company’s 2021 Option Incentive Plan and the Company's 2022 Share Incentive Plan, the Company's registration statement on Form F-3</w:t>
      </w:r>
    </w:p>
    <w:p>
      <w:pPr>
        <w:jc w:val="both"/>
        <w:spacing w:after="0" w:line="226" w:lineRule="auto"/>
        <w:rPr>
          <w:sz w:val="20"/>
          <w:szCs w:val="20"/>
          <w:color w:val="auto"/>
        </w:rPr>
      </w:pPr>
      <w:r>
        <w:rPr>
          <w:rFonts w:ascii="Arial" w:cs="Arial" w:eastAsia="Arial" w:hAnsi="Arial"/>
          <w:sz w:val="18"/>
          <w:szCs w:val="18"/>
          <w:color w:val="auto"/>
        </w:rPr>
        <w:t>(Registration No.333-288811) that was filed on 21 July 2025. The Company's post-effective amendment No. 2 to registration statement on Form F-1 on Form F-3 (Registration No. 333-271861) that was filed on 11 April 2024 and the Company's registration statement on Form F-3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333-283854) that was filed on 23 December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filing with the SEC of this consent letter as an exhibit to the Annual Report. In giving such consent, we do not thereby</w:t>
      </w:r>
    </w:p>
    <w:p>
      <w:pPr>
        <w:jc w:val="both"/>
        <w:spacing w:after="0" w:line="229" w:lineRule="auto"/>
        <w:rPr>
          <w:sz w:val="20"/>
          <w:szCs w:val="20"/>
          <w:color w:val="auto"/>
        </w:rPr>
      </w:pPr>
      <w:r>
        <w:rPr>
          <w:rFonts w:ascii="Arial" w:cs="Arial" w:eastAsia="Arial" w:hAnsi="Arial"/>
          <w:sz w:val="18"/>
          <w:szCs w:val="18"/>
          <w:color w:val="auto"/>
        </w:rPr>
        <w:t>admit that we come within the category of persons whose consent is required under Section 7 of the Securities Act of 1933, or under the Securities Exchange Act of 1934, in each case, as amended, or the regulations promulgated thereunder.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ectPr>
          <w:pgSz w:w="11900" w:h="16838" w:orient="portrait"/>
          <w:cols w:equalWidth="0" w:num="1">
            <w:col w:w="11240"/>
          </w:cols>
          <w:pgMar w:left="320" w:top="1440" w:right="339" w:bottom="1440" w:gutter="0" w:footer="0" w:header="0"/>
        </w:sectPr>
      </w:pPr>
    </w:p>
    <w:bookmarkStart w:id="271" w:name="page272"/>
    <w:bookmarkEnd w:id="271"/>
    <w:p>
      <w:pPr>
        <w:ind w:left="10120"/>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91" w:lineRule="exact"/>
        <w:rPr>
          <w:sz w:val="20"/>
          <w:szCs w:val="20"/>
          <w:color w:val="auto"/>
        </w:rPr>
      </w:pPr>
    </w:p>
    <w:p>
      <w:pPr>
        <w:ind w:left="140" w:right="3020"/>
        <w:spacing w:after="0" w:line="261" w:lineRule="auto"/>
        <w:rPr>
          <w:sz w:val="20"/>
          <w:szCs w:val="20"/>
          <w:color w:val="auto"/>
        </w:rPr>
      </w:pPr>
      <w:r>
        <w:rPr>
          <w:rFonts w:ascii="Times New Roman" w:cs="Times New Roman" w:eastAsia="Times New Roman" w:hAnsi="Times New Roman"/>
          <w:sz w:val="18"/>
          <w:szCs w:val="18"/>
          <w:color w:val="auto"/>
        </w:rPr>
        <w:t>33/F, HKRI Centre Two, HKRI Taikoo Hui, 288 Shimen Road (No. 1), Jing'an District Shanghai 200041, PRC Tel: +86 21 6080 0909 Fax: +86 21 6080 0999</w:t>
      </w:r>
    </w:p>
    <w:p>
      <w:pPr>
        <w:ind w:left="140"/>
        <w:spacing w:after="0"/>
        <w:rPr>
          <w:sz w:val="20"/>
          <w:szCs w:val="20"/>
          <w:color w:val="auto"/>
        </w:rPr>
      </w:pPr>
      <w:r>
        <w:rPr>
          <w:rFonts w:ascii="Times New Roman" w:cs="Times New Roman" w:eastAsia="Times New Roman" w:hAnsi="Times New Roman"/>
          <w:sz w:val="18"/>
          <w:szCs w:val="18"/>
          <w:color w:val="auto"/>
        </w:rPr>
        <w:t xml:space="preserve">Beijing ·Shanghai ·Shenzhen ·Hong Kong ·Haikou ·Wuhan ·Singapore ·New York </w:t>
      </w:r>
      <w:r>
        <w:rPr>
          <w:rFonts w:ascii="Times New Roman" w:cs="Times New Roman" w:eastAsia="Times New Roman" w:hAnsi="Times New Roman"/>
          <w:sz w:val="18"/>
          <w:szCs w:val="18"/>
          <w:u w:val="single" w:color="auto"/>
          <w:color w:val="auto"/>
        </w:rPr>
        <w:t>www.hankunlaw.com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March 30, 2026</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w:t>
            </w:r>
          </w:p>
        </w:tc>
        <w:tc>
          <w:tcPr>
            <w:tcW w:w="35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 xml:space="preserve">ECARX Holdings Inc. </w:t>
            </w:r>
            <w:r>
              <w:rPr>
                <w:rFonts w:ascii="Times New Roman" w:cs="Times New Roman" w:eastAsia="Times New Roman" w:hAnsi="Times New Roman"/>
                <w:sz w:val="20"/>
                <w:szCs w:val="20"/>
                <w:color w:val="auto"/>
                <w:w w:val="98"/>
              </w:rPr>
              <w:t>(the “Company”)</w:t>
            </w:r>
          </w:p>
        </w:tc>
      </w:tr>
      <w:tr>
        <w:trPr>
          <w:trHeight w:val="20"/>
        </w:trPr>
        <w:tc>
          <w:tcPr>
            <w:tcW w:w="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3560" w:type="dxa"/>
            <w:vAlign w:val="bottom"/>
            <w:gridSpan w:val="3"/>
          </w:tcPr>
          <w:p>
            <w:pPr>
              <w:ind w:left="260"/>
              <w:spacing w:after="0" w:line="228" w:lineRule="exact"/>
              <w:rPr>
                <w:sz w:val="20"/>
                <w:szCs w:val="20"/>
                <w:color w:val="auto"/>
              </w:rPr>
            </w:pPr>
            <w:r>
              <w:rPr>
                <w:rFonts w:ascii="Times New Roman" w:cs="Times New Roman" w:eastAsia="Times New Roman" w:hAnsi="Times New Roman"/>
                <w:sz w:val="20"/>
                <w:szCs w:val="20"/>
                <w:color w:val="auto"/>
              </w:rPr>
              <w:t>Second Floor North, International House</w:t>
            </w:r>
          </w:p>
        </w:tc>
      </w:tr>
      <w:tr>
        <w:trPr>
          <w:trHeight w:val="229"/>
        </w:trPr>
        <w:tc>
          <w:tcPr>
            <w:tcW w:w="520" w:type="dxa"/>
            <w:vAlign w:val="bottom"/>
          </w:tcPr>
          <w:p>
            <w:pPr>
              <w:spacing w:after="0"/>
              <w:rPr>
                <w:sz w:val="19"/>
                <w:szCs w:val="19"/>
                <w:color w:val="auto"/>
              </w:rPr>
            </w:pPr>
          </w:p>
        </w:tc>
        <w:tc>
          <w:tcPr>
            <w:tcW w:w="35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1 St. Katharine's Way</w:t>
            </w:r>
          </w:p>
        </w:tc>
      </w:tr>
      <w:tr>
        <w:trPr>
          <w:trHeight w:val="258"/>
        </w:trPr>
        <w:tc>
          <w:tcPr>
            <w:tcW w:w="520" w:type="dxa"/>
            <w:vAlign w:val="bottom"/>
          </w:tcPr>
          <w:p>
            <w:pPr>
              <w:spacing w:after="0"/>
              <w:rPr>
                <w:sz w:val="22"/>
                <w:szCs w:val="22"/>
                <w:color w:val="auto"/>
              </w:rPr>
            </w:pPr>
          </w:p>
        </w:tc>
        <w:tc>
          <w:tcPr>
            <w:tcW w:w="35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London E1W 1UN</w:t>
            </w:r>
          </w:p>
        </w:tc>
      </w:tr>
      <w:tr>
        <w:trPr>
          <w:trHeight w:val="283"/>
        </w:trPr>
        <w:tc>
          <w:tcPr>
            <w:tcW w:w="520" w:type="dxa"/>
            <w:vAlign w:val="bottom"/>
          </w:tcPr>
          <w:p>
            <w:pPr>
              <w:spacing w:after="0"/>
              <w:rPr>
                <w:sz w:val="24"/>
                <w:szCs w:val="24"/>
                <w:color w:val="auto"/>
              </w:rPr>
            </w:pPr>
          </w:p>
        </w:tc>
        <w:tc>
          <w:tcPr>
            <w:tcW w:w="35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United Kingdom</w:t>
            </w:r>
          </w:p>
        </w:tc>
      </w:tr>
    </w:tbl>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Dear Sirs/Madams,</w:t>
      </w:r>
    </w:p>
    <w:p>
      <w:pPr>
        <w:spacing w:after="0" w:line="378" w:lineRule="exact"/>
        <w:rPr>
          <w:sz w:val="20"/>
          <w:szCs w:val="20"/>
          <w:color w:val="auto"/>
        </w:rPr>
      </w:pPr>
    </w:p>
    <w:p>
      <w:pPr>
        <w:jc w:val="both"/>
        <w:ind w:left="140"/>
        <w:spacing w:after="0" w:line="305" w:lineRule="auto"/>
        <w:rPr>
          <w:sz w:val="20"/>
          <w:szCs w:val="20"/>
          <w:color w:val="auto"/>
        </w:rPr>
      </w:pPr>
      <w:r>
        <w:rPr>
          <w:rFonts w:ascii="Times New Roman" w:cs="Times New Roman" w:eastAsia="Times New Roman" w:hAnsi="Times New Roman"/>
          <w:sz w:val="20"/>
          <w:szCs w:val="20"/>
          <w:color w:val="auto"/>
        </w:rPr>
        <w:t>We have acted as PRC legal counsel as to the laws of the People’s Republic of China (the “</w:t>
      </w:r>
      <w:r>
        <w:rPr>
          <w:rFonts w:ascii="Times New Roman" w:cs="Times New Roman" w:eastAsia="Times New Roman" w:hAnsi="Times New Roman"/>
          <w:sz w:val="20"/>
          <w:szCs w:val="20"/>
          <w:u w:val="single" w:color="auto"/>
          <w:color w:val="auto"/>
        </w:rPr>
        <w:t>PRC</w:t>
      </w:r>
      <w:r>
        <w:rPr>
          <w:rFonts w:ascii="Times New Roman" w:cs="Times New Roman" w:eastAsia="Times New Roman" w:hAnsi="Times New Roman"/>
          <w:sz w:val="20"/>
          <w:szCs w:val="20"/>
          <w:color w:val="auto"/>
        </w:rPr>
        <w:t>”, for purpose of this letter only, excluding the Hong Kong Special Administrative Region, the Macau Special Administrative Region and Taiwan) to the Company in connection with the filing by the Company with the United States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of an annual report on Form 20-F for the year ended December 31, 2025 (the “</w:t>
      </w:r>
      <w:r>
        <w:rPr>
          <w:rFonts w:ascii="Times New Roman" w:cs="Times New Roman" w:eastAsia="Times New Roman" w:hAnsi="Times New Roman"/>
          <w:sz w:val="20"/>
          <w:szCs w:val="20"/>
          <w:u w:val="single" w:color="auto"/>
          <w:color w:val="auto"/>
        </w:rPr>
        <w:t>Annual Report</w:t>
      </w:r>
      <w:r>
        <w:rPr>
          <w:rFonts w:ascii="Times New Roman" w:cs="Times New Roman" w:eastAsia="Times New Roman" w:hAnsi="Times New Roman"/>
          <w:sz w:val="20"/>
          <w:szCs w:val="20"/>
          <w:color w:val="auto"/>
        </w:rPr>
        <w:t>”).</w:t>
      </w:r>
    </w:p>
    <w:p>
      <w:pPr>
        <w:spacing w:after="0" w:line="262" w:lineRule="exact"/>
        <w:rPr>
          <w:sz w:val="20"/>
          <w:szCs w:val="20"/>
          <w:color w:val="auto"/>
        </w:rPr>
      </w:pPr>
    </w:p>
    <w:p>
      <w:pPr>
        <w:jc w:val="both"/>
        <w:ind w:left="140"/>
        <w:spacing w:after="0" w:line="301" w:lineRule="auto"/>
        <w:rPr>
          <w:sz w:val="20"/>
          <w:szCs w:val="20"/>
          <w:color w:val="auto"/>
        </w:rPr>
      </w:pPr>
      <w:r>
        <w:rPr>
          <w:rFonts w:ascii="Times New Roman" w:cs="Times New Roman" w:eastAsia="Times New Roman" w:hAnsi="Times New Roman"/>
          <w:sz w:val="20"/>
          <w:szCs w:val="20"/>
          <w:color w:val="auto"/>
        </w:rPr>
        <w:t>We hereby consent to the reference of our name under the headings “Item 3. Key Information—Permission Required from the PRC Authorities for Our Operations” and “Item 3. Key Information—D. Risk Factors—Risks Relating to Doing Business in China” in the Annual Report, and further consent to the incorporation by reference of the summary of our opinions into the Company’s registration statement on Form S-8 (File No. 333-269756), the Company's registration statement on Form F-3 (Registration No. 333-288811), the Company’s registration statement on Form F-3 (File No. 333-271861), and the Company’s registration statement on Form F-3 (File No. 333-283854). We also consent to the filing with the SEC of this consent letter as an exhibit to the Annual Report.</w:t>
      </w:r>
    </w:p>
    <w:p>
      <w:pPr>
        <w:spacing w:after="0" w:line="213" w:lineRule="exact"/>
        <w:rPr>
          <w:sz w:val="20"/>
          <w:szCs w:val="20"/>
          <w:color w:val="auto"/>
        </w:rPr>
      </w:pPr>
    </w:p>
    <w:p>
      <w:pPr>
        <w:jc w:val="both"/>
        <w:ind w:left="140"/>
        <w:spacing w:after="0" w:line="310" w:lineRule="auto"/>
        <w:rPr>
          <w:sz w:val="20"/>
          <w:szCs w:val="20"/>
          <w:color w:val="auto"/>
        </w:rPr>
      </w:pPr>
      <w:r>
        <w:rPr>
          <w:rFonts w:ascii="Times New Roman" w:cs="Times New Roman" w:eastAsia="Times New Roman" w:hAnsi="Times New Roman"/>
          <w:sz w:val="20"/>
          <w:szCs w:val="20"/>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Yours faithfully,</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Han Kun Law Offices</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Han Kun Law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CONFIDENTIALITY. This document contains confidential information which may be protected by privilege from disclosure. Unless you are the intended or authorized recipient, you shall not copy, print, use or distribute it or any part thereof or carry out any act pursuant thereto and shall advise Han Kun Law Offices immediately by telephone, e-mail or facsimile and return it promptly by mail. Thank you.</w:t>
      </w:r>
    </w:p>
    <w:p>
      <w:pPr>
        <w:sectPr>
          <w:pgSz w:w="11900" w:h="16838" w:orient="portrait"/>
          <w:cols w:equalWidth="0" w:num="1">
            <w:col w:w="11140"/>
          </w:cols>
          <w:pgMar w:left="320" w:top="873" w:right="4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333-269756) on Form S-8 and the registration statements (No. 333-271861, No. 333-283854 and No. 333-288811) on Form F-3 of ECARX Holdings Inc. of our report dated March 30, 2026, with respect to the consolidated financial statements of ECARX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KPMG Huazhen LLP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o"/>
      <w:numFmt w:val="bullet"/>
      <w:start w:val="1"/>
    </w:lvl>
  </w:abstractNum>
  <w:abstractNum w:abstractNumId="1">
    <w:nsid w:val="1D9F6E5F"/>
    <w:multiLevelType w:val="hybridMultilevel"/>
    <w:lvl w:ilvl="0">
      <w:lvlJc w:val="left"/>
      <w:lvlText w:val="x"/>
      <w:numFmt w:val="bullet"/>
      <w:start w:val="1"/>
    </w:lvl>
  </w:abstractNum>
  <w:abstractNum w:abstractNumId="2">
    <w:nsid w:val="97E1B4E"/>
    <w:multiLevelType w:val="hybridMultilevel"/>
    <w:lvl w:ilvl="0">
      <w:lvlJc w:val="left"/>
      <w:lvlText w:val="o"/>
      <w:numFmt w:val="bullet"/>
      <w:start w:val="1"/>
    </w:lvl>
  </w:abstractNum>
  <w:abstractNum w:abstractNumId="3">
    <w:nsid w:val="51088277"/>
    <w:multiLevelType w:val="hybridMultilevel"/>
    <w:lvl w:ilvl="0">
      <w:lvlJc w:val="left"/>
      <w:lvlText w:val="o"/>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1."/>
      <w:numFmt w:val="upperLetter"/>
      <w:start w:val="1"/>
    </w:lvl>
  </w:abstractNum>
  <w:abstractNum w:abstractNumId="9">
    <w:nsid w:val="45E6D486"/>
    <w:multiLevelType w:val="hybridMultilevel"/>
    <w:lvl w:ilvl="0">
      <w:lvlJc w:val="left"/>
      <w:lvlText w:val="•"/>
      <w:numFmt w:val="bullet"/>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
      <w:numFmt w:val="bullet"/>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1)"/>
      <w:numFmt w:val="lowerRoman"/>
      <w:start w:val="2"/>
    </w:lvl>
  </w:abstractNum>
  <w:abstractNum w:abstractNumId="23">
    <w:nsid w:val="1DF029D3"/>
    <w:multiLevelType w:val="hybridMultilevel"/>
    <w:lvl w:ilvl="0">
      <w:lvlJc w:val="left"/>
      <w:lvlText w:val="(%1)"/>
      <w:numFmt w:val="lowerRoman"/>
      <w:start w:val="1"/>
    </w:lvl>
  </w:abstractNum>
  <w:abstractNum w:abstractNumId="24">
    <w:nsid w:val="5675FF36"/>
    <w:multiLevelType w:val="hybridMultilevel"/>
    <w:lvl w:ilvl="0">
      <w:lvlJc w:val="left"/>
      <w:lvlText w:val="(%1)"/>
      <w:numFmt w:val="lowerRoman"/>
      <w:start w:val="4"/>
    </w:lvl>
  </w:abstractNum>
  <w:abstractNum w:abstractNumId="25">
    <w:nsid w:val="3DD15094"/>
    <w:multiLevelType w:val="hybridMultilevel"/>
    <w:lvl w:ilvl="0">
      <w:lvlJc w:val="left"/>
      <w:lvlText w:val="(%1)"/>
      <w:numFmt w:val="lowerRoman"/>
      <w:start w:val="4"/>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1."/>
      <w:numFmt w:val="upperLetter"/>
      <w:start w:val="1"/>
    </w:lvl>
  </w:abstractNum>
  <w:abstractNum w:abstractNumId="29">
    <w:nsid w:val="175DFCF0"/>
    <w:multiLevelType w:val="hybridMultilevel"/>
    <w:lvl w:ilvl="0">
      <w:lvlJc w:val="left"/>
      <w:lvlText w:val="%1."/>
      <w:numFmt w:val="upperLetter"/>
      <w:start w:val="3"/>
    </w:lvl>
  </w:abstractNum>
  <w:abstractNum w:abstractNumId="30">
    <w:nsid w:val="4F97E3E4"/>
    <w:multiLevelType w:val="hybridMultilevel"/>
    <w:lvl w:ilvl="0">
      <w:lvlJc w:val="left"/>
      <w:lvlText w:val="•"/>
      <w:numFmt w:val="bullet"/>
      <w:start w:val="1"/>
    </w:lvl>
  </w:abstractNum>
  <w:abstractNum w:abstractNumId="31">
    <w:nsid w:val="53B0A9E"/>
    <w:multiLevelType w:val="hybridMultilevel"/>
    <w:lvl w:ilvl="0">
      <w:lvlJc w:val="left"/>
      <w:lvlText w:val="•"/>
      <w:numFmt w:val="bullet"/>
      <w:start w:val="1"/>
    </w:lvl>
  </w:abstractNum>
  <w:abstractNum w:abstractNumId="32">
    <w:nsid w:val="34FD6B4F"/>
    <w:multiLevelType w:val="hybridMultilevel"/>
    <w:lvl w:ilvl="0">
      <w:lvlJc w:val="left"/>
      <w:lvlText w:val="•"/>
      <w:numFmt w:val="bullet"/>
      <w:start w:val="1"/>
    </w:lvl>
  </w:abstractNum>
  <w:abstractNum w:abstractNumId="33">
    <w:nsid w:val="5915FF32"/>
    <w:multiLevelType w:val="hybridMultilevel"/>
    <w:lvl w:ilvl="0">
      <w:lvlJc w:val="left"/>
      <w:lvlText w:val="•"/>
      <w:numFmt w:val="bullet"/>
      <w:start w:val="1"/>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1)"/>
      <w:numFmt w:val="decimal"/>
      <w:start w:val="1"/>
    </w:lvl>
  </w:abstractNum>
  <w:abstractNum w:abstractNumId="36">
    <w:nsid w:val="2C6E4AFD"/>
    <w:multiLevelType w:val="hybridMultilevel"/>
    <w:lvl w:ilvl="0">
      <w:lvlJc w:val="left"/>
      <w:lvlText w:val="%1."/>
      <w:numFmt w:val="upperLetter"/>
      <w:start w:val="6"/>
    </w:lvl>
  </w:abstractNum>
  <w:abstractNum w:abstractNumId="37">
    <w:nsid w:val="17A1B582"/>
    <w:multiLevelType w:val="hybridMultilevel"/>
    <w:lvl w:ilvl="0">
      <w:lvlJc w:val="left"/>
      <w:lvlText w:val="•"/>
      <w:numFmt w:val="bullet"/>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1."/>
      <w:numFmt w:val="upperLetter"/>
      <w:start w:val="3"/>
    </w:lvl>
  </w:abstractNum>
  <w:abstractNum w:abstractNumId="40">
    <w:nsid w:val="5D888A08"/>
    <w:multiLevelType w:val="hybridMultilevel"/>
    <w:lvl w:ilvl="0">
      <w:lvlJc w:val="left"/>
      <w:lvlText w:val="(%1)"/>
      <w:numFmt w:val="lowerRoman"/>
      <w:start w:val="3"/>
    </w:lvl>
  </w:abstractNum>
  <w:abstractNum w:abstractNumId="41">
    <w:nsid w:val="2A082C70"/>
    <w:multiLevelType w:val="hybridMultilevel"/>
    <w:lvl w:ilvl="0">
      <w:lvlJc w:val="left"/>
      <w:lvlText w:val="%1."/>
      <w:numFmt w:val="upperLetter"/>
      <w:start w:val="2"/>
    </w:lvl>
  </w:abstractNum>
  <w:abstractNum w:abstractNumId="42">
    <w:nsid w:val="5EC6AFD4"/>
    <w:multiLevelType w:val="hybridMultilevel"/>
    <w:lvl w:ilvl="0">
      <w:lvlJc w:val="left"/>
      <w:lvlText w:val="%1."/>
      <w:numFmt w:val="upperLetter"/>
      <w:start w:val="4"/>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
      <w:numFmt w:val="bullet"/>
      <w:start w:val="1"/>
    </w:lvl>
  </w:abstractNum>
  <w:abstractNum w:abstractNumId="45">
    <w:nsid w:val="57A61A29"/>
    <w:multiLevelType w:val="hybridMultilevel"/>
    <w:lvl w:ilvl="0">
      <w:lvlJc w:val="left"/>
      <w:lvlText w:val="•"/>
      <w:numFmt w:val="bullet"/>
      <w:start w:val="1"/>
    </w:lvl>
  </w:abstractNum>
  <w:abstractNum w:abstractNumId="46">
    <w:nsid w:val="5399C654"/>
    <w:multiLevelType w:val="hybridMultilevel"/>
    <w:lvl w:ilvl="0">
      <w:lvlJc w:val="left"/>
      <w:lvlText w:val="(%1)"/>
      <w:numFmt w:val="lowerLetter"/>
      <w:start w:val="1"/>
    </w:lvl>
    <w:lvl w:ilvl="1">
      <w:lvlJc w:val="left"/>
      <w:lvlText w:val="(%2)"/>
      <w:numFmt w:val="lowerRoman"/>
      <w:start w:val="1"/>
    </w:lvl>
  </w:abstractNum>
  <w:abstractNum w:abstractNumId="47">
    <w:nsid w:val="20EE1348"/>
    <w:multiLevelType w:val="hybridMultilevel"/>
    <w:lvl w:ilvl="0">
      <w:lvlJc w:val="left"/>
      <w:lvlText w:val="•"/>
      <w:numFmt w:val="bullet"/>
      <w:start w:val="1"/>
    </w:lvl>
  </w:abstractNum>
  <w:abstractNum w:abstractNumId="48">
    <w:nsid w:val="4427069A"/>
    <w:multiLevelType w:val="hybridMultilevel"/>
    <w:lvl w:ilvl="0">
      <w:lvlJc w:val="left"/>
      <w:lvlText w:val="•"/>
      <w:numFmt w:val="bullet"/>
      <w:start w:val="1"/>
    </w:lvl>
  </w:abstractNum>
  <w:abstractNum w:abstractNumId="49">
    <w:nsid w:val="B37E80A"/>
    <w:multiLevelType w:val="hybridMultilevel"/>
    <w:lvl w:ilvl="0">
      <w:lvlJc w:val="left"/>
      <w:lvlText w:val="•"/>
      <w:numFmt w:val="bullet"/>
      <w:start w:val="1"/>
    </w:lvl>
  </w:abstractNum>
  <w:abstractNum w:abstractNumId="50">
    <w:nsid w:val="2157F6BC"/>
    <w:multiLevelType w:val="hybridMultilevel"/>
    <w:lvl w:ilvl="0">
      <w:lvlJc w:val="left"/>
      <w:lvlText w:val="%1."/>
      <w:numFmt w:val="upperLetter"/>
      <w:start w:val="6"/>
    </w:lvl>
  </w:abstractNum>
  <w:abstractNum w:abstractNumId="51">
    <w:nsid w:val="704E1DD5"/>
    <w:multiLevelType w:val="hybridMultilevel"/>
    <w:lvl w:ilvl="0">
      <w:lvlJc w:val="left"/>
      <w:lvlText w:val="%1."/>
      <w:numFmt w:val="upperLetter"/>
      <w:start w:val="9"/>
    </w:lvl>
  </w:abstractNum>
  <w:abstractNum w:abstractNumId="52">
    <w:nsid w:val="57D2F10E"/>
    <w:multiLevelType w:val="hybridMultilevel"/>
    <w:lvl w:ilvl="0">
      <w:lvlJc w:val="left"/>
      <w:lvlText w:val="%1."/>
      <w:numFmt w:val="upperLetter"/>
      <w:start w:val="10"/>
    </w:lvl>
  </w:abstractNum>
  <w:abstractNum w:abstractNumId="53">
    <w:nsid w:val="BFFAE18"/>
    <w:multiLevelType w:val="hybridMultilevel"/>
    <w:lvl w:ilvl="0">
      <w:lvlJc w:val="left"/>
      <w:lvlText w:val="%1."/>
      <w:numFmt w:val="upperLetter"/>
      <w:start w:val="1"/>
    </w:lvl>
  </w:abstractNum>
  <w:abstractNum w:abstractNumId="54">
    <w:nsid w:val="E3E47A8"/>
    <w:multiLevelType w:val="hybridMultilevel"/>
    <w:lvl w:ilvl="0">
      <w:lvlJc w:val="left"/>
      <w:lvlText w:val="(%1)"/>
      <w:numFmt w:val="decimal"/>
      <w:start w:val="1"/>
    </w:lvl>
  </w:abstractNum>
  <w:abstractNum w:abstractNumId="55">
    <w:nsid w:val="2E48F044"/>
    <w:multiLevelType w:val="hybridMultilevel"/>
    <w:lvl w:ilvl="0">
      <w:lvlJc w:val="left"/>
      <w:lvlText w:val="**"/>
      <w:numFmt w:val="bullet"/>
      <w:start w:val="1"/>
    </w:lvl>
  </w:abstractNum>
  <w:abstractNum w:abstractNumId="56">
    <w:nsid w:val="49D0FEAC"/>
    <w:multiLevelType w:val="hybridMultilevel"/>
    <w:lvl w:ilvl="0">
      <w:lvlJc w:val="left"/>
      <w:lvlText w:val="#"/>
      <w:numFmt w:val="bullet"/>
      <w:start w:val="1"/>
    </w:lvl>
  </w:abstractNum>
  <w:abstractNum w:abstractNumId="57">
    <w:nsid w:val="4BEE5A5B"/>
    <w:multiLevelType w:val="hybridMultilevel"/>
    <w:lvl w:ilvl="0">
      <w:lvlJc w:val="left"/>
      <w:lvlText w:val="1"/>
      <w:numFmt w:val="bullet"/>
      <w:start w:val="1"/>
    </w:lvl>
  </w:abstractNum>
  <w:abstractNum w:abstractNumId="58">
    <w:nsid w:val="5551B9F3"/>
    <w:multiLevelType w:val="hybridMultilevel"/>
    <w:lvl w:ilvl="0">
      <w:lvlJc w:val="left"/>
      <w:lvlText w:val="1"/>
      <w:numFmt w:val="bullet"/>
      <w:start w:val="1"/>
    </w:lvl>
  </w:abstractNum>
  <w:abstractNum w:abstractNumId="59">
    <w:nsid w:val="24F6AB8E"/>
    <w:multiLevelType w:val="hybridMultilevel"/>
    <w:lvl w:ilvl="0">
      <w:lvlJc w:val="left"/>
      <w:lvlText w:val="(%1)"/>
      <w:numFmt w:val="lowerLetter"/>
      <w:start w:val="1"/>
    </w:lvl>
  </w:abstractNum>
  <w:abstractNum w:abstractNumId="60">
    <w:nsid w:val="634C574C"/>
    <w:multiLevelType w:val="hybridMultilevel"/>
    <w:lvl w:ilvl="0">
      <w:lvlJc w:val="left"/>
      <w:lvlText w:val="(%1)"/>
      <w:numFmt w:val="lowerLetter"/>
      <w:start w:val="1"/>
    </w:lvl>
  </w:abstractNum>
  <w:abstractNum w:abstractNumId="61">
    <w:nsid w:val="24E99DD7"/>
    <w:multiLevelType w:val="hybridMultilevel"/>
    <w:lvl w:ilvl="0">
      <w:lvlJc w:val="left"/>
      <w:lvlText w:val="(%1)"/>
      <w:numFmt w:val="lowerLetter"/>
      <w:start w:val="6"/>
    </w:lvl>
  </w:abstractNum>
  <w:abstractNum w:abstractNumId="62">
    <w:nsid w:val="2A31B62D"/>
    <w:multiLevelType w:val="hybridMultilevel"/>
    <w:lvl w:ilvl="0">
      <w:lvlJc w:val="left"/>
      <w:lvlText w:val="(%1)"/>
      <w:numFmt w:val="lowerRoman"/>
      <w:start w:val="1"/>
    </w:lvl>
  </w:abstractNum>
  <w:abstractNum w:abstractNumId="63">
    <w:nsid w:val="1849C29B"/>
    <w:multiLevelType w:val="hybridMultilevel"/>
    <w:lvl w:ilvl="0">
      <w:lvlJc w:val="left"/>
      <w:lvlText w:val="(%1)"/>
      <w:numFmt w:val="lowerLetter"/>
      <w:start w:val="10"/>
    </w:lvl>
  </w:abstractNum>
  <w:abstractNum w:abstractNumId="64">
    <w:nsid w:val="7DFF9D09"/>
    <w:multiLevelType w:val="hybridMultilevel"/>
    <w:lvl w:ilvl="0">
      <w:lvlJc w:val="left"/>
      <w:lvlText w:val="(%1)"/>
      <w:numFmt w:val="lowerLetter"/>
      <w:start w:val="12"/>
    </w:lvl>
  </w:abstractNum>
  <w:abstractNum w:abstractNumId="65">
    <w:nsid w:val="754342"/>
    <w:multiLevelType w:val="hybridMultilevel"/>
    <w:lvl w:ilvl="0">
      <w:lvlJc w:val="left"/>
      <w:lvlText w:val="(%1)"/>
      <w:numFmt w:val="lowerLetter"/>
      <w:start w:val="15"/>
    </w:lvl>
  </w:abstractNum>
  <w:abstractNum w:abstractNumId="66">
    <w:nsid w:val="69E7F3E5"/>
    <w:multiLevelType w:val="hybridMultilevel"/>
    <w:lvl w:ilvl="0">
      <w:lvlJc w:val="left"/>
      <w:lvlText w:val="(%1)"/>
      <w:numFmt w:val="lowerLetter"/>
      <w:start w:val="19"/>
    </w:lvl>
  </w:abstractNum>
  <w:abstractNum w:abstractNumId="67">
    <w:nsid w:val="2A6DE806"/>
    <w:multiLevelType w:val="hybridMultilevel"/>
    <w:lvl w:ilvl="0">
      <w:lvlJc w:val="left"/>
      <w:lvlText w:val="%1."/>
      <w:numFmt w:val="lowerLetter"/>
      <w:start w:val="1"/>
    </w:lvl>
  </w:abstractNum>
  <w:abstractNum w:abstractNumId="68">
    <w:nsid w:val="1816F8C4"/>
    <w:multiLevelType w:val="hybridMultilevel"/>
    <w:lvl w:ilvl="0">
      <w:lvlJc w:val="left"/>
      <w:lvlText w:val="%1."/>
      <w:numFmt w:val="lowerLetter"/>
      <w:start w:val="1"/>
    </w:lvl>
  </w:abstractNum>
  <w:abstractNum w:abstractNumId="69">
    <w:nsid w:val="37DF2233"/>
    <w:multiLevelType w:val="hybridMultilevel"/>
    <w:lvl w:ilvl="0">
      <w:lvlJc w:val="left"/>
      <w:lvlText w:val="•"/>
      <w:numFmt w:val="bullet"/>
      <w:start w:val="1"/>
    </w:lvl>
  </w:abstractNum>
  <w:abstractNum w:abstractNumId="70">
    <w:nsid w:val="7AB49DAF"/>
    <w:multiLevelType w:val="hybridMultilevel"/>
    <w:lvl w:ilvl="0">
      <w:lvlJc w:val="left"/>
      <w:lvlText w:val="•"/>
      <w:numFmt w:val="bullet"/>
      <w:start w:val="1"/>
    </w:lvl>
  </w:abstractNum>
  <w:abstractNum w:abstractNumId="71">
    <w:nsid w:val="759F82CD"/>
    <w:multiLevelType w:val="hybridMultilevel"/>
    <w:lvl w:ilvl="0">
      <w:lvlJc w:val="left"/>
      <w:lvlText w:val="%1"/>
      <w:numFmt w:val="lowerLetter"/>
      <w:start w:val="1"/>
    </w:lvl>
    <w:lvl w:ilvl="1">
      <w:lvlJc w:val="left"/>
      <w:lvlText w:val="%2."/>
      <w:numFmt w:val="lowerLetter"/>
      <w:start w:val="1"/>
    </w:lvl>
  </w:abstractNum>
  <w:abstractNum w:abstractNumId="72">
    <w:nsid w:val="61E74EA3"/>
    <w:multiLevelType w:val="hybridMultilevel"/>
    <w:lvl w:ilvl="0">
      <w:lvlJc w:val="left"/>
      <w:lvlText w:val="(%1)"/>
      <w:numFmt w:val="lowerLetter"/>
      <w:start w:val="21"/>
    </w:lvl>
    <w:lvl w:ilvl="1">
      <w:lvlJc w:val="left"/>
      <w:lvlText w:val="%2"/>
      <w:numFmt w:val="lowerLetter"/>
      <w:start w:val="1"/>
    </w:lvl>
  </w:abstractNum>
  <w:abstractNum w:abstractNumId="73">
    <w:nsid w:val="597B4D84"/>
    <w:multiLevelType w:val="hybridMultilevel"/>
    <w:lvl w:ilvl="0">
      <w:lvlJc w:val="left"/>
      <w:lvlText w:val="(%1)"/>
      <w:numFmt w:val="lowerRoman"/>
      <w:start w:val="5"/>
    </w:lvl>
  </w:abstractNum>
  <w:abstractNum w:abstractNumId="74">
    <w:nsid w:val="F819E7F"/>
    <w:multiLevelType w:val="hybridMultilevel"/>
    <w:lvl w:ilvl="0">
      <w:lvlJc w:val="left"/>
      <w:lvlText w:val="(%1)"/>
      <w:numFmt w:val="lowerLetter"/>
      <w:start w:val="23"/>
    </w:lvl>
  </w:abstractNum>
  <w:abstractNum w:abstractNumId="75">
    <w:nsid w:val="57C7D42D"/>
    <w:multiLevelType w:val="hybridMultilevel"/>
    <w:lvl w:ilvl="0">
      <w:lvlJc w:val="left"/>
      <w:lvlText w:val="(%1)"/>
      <w:numFmt w:val="lowerRoman"/>
      <w:start w:val="10"/>
    </w:lvl>
  </w:abstractNum>
  <w:abstractNum w:abstractNumId="76">
    <w:nsid w:val="312167AD"/>
    <w:multiLevelType w:val="hybridMultilevel"/>
    <w:lvl w:ilvl="0">
      <w:lvlJc w:val="left"/>
      <w:lvlText w:val="(%1)"/>
      <w:numFmt w:val="lowerLetter"/>
      <w:start w:val="25"/>
    </w:lvl>
  </w:abstractNum>
  <w:abstractNum w:abstractNumId="77">
    <w:nsid w:val="631B64D4"/>
    <w:multiLevelType w:val="hybridMultilevel"/>
    <w:lvl w:ilvl="0">
      <w:lvlJc w:val="left"/>
      <w:lvlText w:val="(%1)"/>
      <w:numFmt w:val="lowerLetter"/>
      <w:start w:val="28"/>
    </w:lvl>
  </w:abstractNum>
  <w:abstractNum w:abstractNumId="78">
    <w:nsid w:val="78B5E776"/>
    <w:multiLevelType w:val="hybridMultilevel"/>
    <w:lvl w:ilvl="0">
      <w:lvlJc w:val="left"/>
      <w:lvlText w:val="(%1)"/>
      <w:numFmt w:val="lowerLetter"/>
      <w:start w:val="30"/>
    </w:lvl>
  </w:abstractNum>
  <w:abstractNum w:abstractNumId="79">
    <w:nsid w:val="75486E47"/>
    <w:multiLevelType w:val="hybridMultilevel"/>
    <w:lvl w:ilvl="0">
      <w:lvlJc w:val="left"/>
      <w:lvlText w:val="(%1)"/>
      <w:numFmt w:val="lowerLetter"/>
      <w:start w:val="31"/>
    </w:lvl>
  </w:abstractNum>
  <w:abstractNum w:abstractNumId="80">
    <w:nsid w:val="6E534CDE"/>
    <w:multiLevelType w:val="hybridMultilevel"/>
    <w:lvl w:ilvl="0">
      <w:lvlJc w:val="left"/>
      <w:lvlText w:val="%1."/>
      <w:numFmt w:val="lowerLetter"/>
      <w:start w:val="1"/>
    </w:lvl>
  </w:abstractNum>
  <w:abstractNum w:abstractNumId="81">
    <w:nsid w:val="1A0DDE32"/>
    <w:multiLevelType w:val="hybridMultilevel"/>
    <w:lvl w:ilvl="0">
      <w:lvlJc w:val="left"/>
      <w:lvlText w:val="%1."/>
      <w:numFmt w:val="lowerLetter"/>
      <w:start w:val="2"/>
    </w:lvl>
  </w:abstractNum>
  <w:abstractNum w:abstractNumId="82">
    <w:nsid w:val="65968C1C"/>
    <w:multiLevelType w:val="hybridMultilevel"/>
    <w:lvl w:ilvl="0">
      <w:lvlJc w:val="left"/>
      <w:lvlText w:val="%1."/>
      <w:numFmt w:val="lowerLetter"/>
      <w:start w:val="3"/>
    </w:lvl>
  </w:abstractNum>
  <w:abstractNum w:abstractNumId="83">
    <w:nsid w:val="46263DEC"/>
    <w:multiLevelType w:val="hybridMultilevel"/>
    <w:lvl w:ilvl="0">
      <w:lvlJc w:val="left"/>
      <w:lvlText w:val="%1."/>
      <w:numFmt w:val="decimal"/>
      <w:start w:val="6"/>
    </w:lvl>
  </w:abstractNum>
  <w:abstractNum w:abstractNumId="84">
    <w:nsid w:val="260D8C4A"/>
    <w:multiLevelType w:val="hybridMultilevel"/>
    <w:lvl w:ilvl="0">
      <w:lvlJc w:val="left"/>
      <w:lvlText w:val="•"/>
      <w:numFmt w:val="bullet"/>
      <w:start w:val="1"/>
    </w:lvl>
  </w:abstractNum>
  <w:abstractNum w:abstractNumId="85">
    <w:nsid w:val="73D4D3C4"/>
    <w:multiLevelType w:val="hybridMultilevel"/>
    <w:lvl w:ilvl="0">
      <w:lvlJc w:val="left"/>
      <w:lvlText w:val="•"/>
      <w:numFmt w:val="bullet"/>
      <w:start w:val="1"/>
    </w:lvl>
  </w:abstractNum>
  <w:abstractNum w:abstractNumId="86">
    <w:nsid w:val="746F2E30"/>
    <w:multiLevelType w:val="hybridMultilevel"/>
    <w:lvl w:ilvl="0">
      <w:lvlJc w:val="left"/>
      <w:lvlText w:val="•"/>
      <w:numFmt w:val="bullet"/>
      <w:start w:val="1"/>
    </w:lvl>
  </w:abstractNum>
  <w:abstractNum w:abstractNumId="87">
    <w:nsid w:val="6FDE8AF6"/>
    <w:multiLevelType w:val="hybridMultilevel"/>
    <w:lvl w:ilvl="0">
      <w:lvlJc w:val="left"/>
      <w:lvlText w:val="•"/>
      <w:numFmt w:val="bullet"/>
      <w:start w:val="1"/>
    </w:lvl>
  </w:abstractNum>
  <w:abstractNum w:abstractNumId="88">
    <w:nsid w:val="3FC32E20"/>
    <w:multiLevelType w:val="hybridMultilevel"/>
    <w:lvl w:ilvl="0">
      <w:lvlJc w:val="left"/>
      <w:lvlText w:val="•"/>
      <w:numFmt w:val="bullet"/>
      <w:start w:val="1"/>
    </w:lvl>
  </w:abstractNum>
  <w:abstractNum w:abstractNumId="89">
    <w:nsid w:val="49C0E823"/>
    <w:multiLevelType w:val="hybridMultilevel"/>
    <w:lvl w:ilvl="0">
      <w:lvlJc w:val="left"/>
      <w:lvlText w:val="%1."/>
      <w:numFmt w:val="lowerRoman"/>
      <w:start w:val="1"/>
    </w:lvl>
  </w:abstractNum>
  <w:abstractNum w:abstractNumId="90">
    <w:nsid w:val="14D53685"/>
    <w:multiLevelType w:val="hybridMultilevel"/>
    <w:lvl w:ilvl="0">
      <w:lvlJc w:val="left"/>
      <w:lvlText w:val="1"/>
      <w:numFmt w:val="bullet"/>
      <w:start w:val="1"/>
    </w:lvl>
  </w:abstractNum>
  <w:abstractNum w:abstractNumId="91">
    <w:nsid w:val="230F856C"/>
    <w:multiLevelType w:val="hybridMultilevel"/>
    <w:lvl w:ilvl="0">
      <w:lvlJc w:val="left"/>
      <w:lvlText w:val="\emdash "/>
      <w:numFmt w:val="bullet"/>
      <w:start w:val="1"/>
    </w:lvl>
  </w:abstractNum>
  <w:abstractNum w:abstractNumId="92">
    <w:nsid w:val="6EAA85FB"/>
    <w:multiLevelType w:val="hybridMultilevel"/>
    <w:lvl w:ilvl="0">
      <w:lvlJc w:val="left"/>
      <w:lvlText w:val="*"/>
      <w:numFmt w:val="bullet"/>
      <w:start w:val="1"/>
    </w:lvl>
  </w:abstractNum>
  <w:abstractNum w:abstractNumId="93">
    <w:nsid w:val="3F06ECB2"/>
    <w:multiLevelType w:val="hybridMultilevel"/>
    <w:lvl w:ilvl="0">
      <w:lvlJc w:val="left"/>
      <w:lvlText w:val="•"/>
      <w:numFmt w:val="bullet"/>
      <w:start w:val="1"/>
    </w:lvl>
  </w:abstractNum>
  <w:abstractNum w:abstractNumId="94">
    <w:nsid w:val="3B594807"/>
    <w:multiLevelType w:val="hybridMultilevel"/>
    <w:lvl w:ilvl="0">
      <w:lvlJc w:val="left"/>
      <w:lvlText w:val="•"/>
      <w:numFmt w:val="bullet"/>
      <w:start w:val="1"/>
    </w:lvl>
  </w:abstractNum>
  <w:abstractNum w:abstractNumId="95">
    <w:nsid w:val="6CAA2304"/>
    <w:multiLevelType w:val="hybridMultilevel"/>
    <w:lvl w:ilvl="0">
      <w:lvlJc w:val="left"/>
      <w:lvlText w:val="•"/>
      <w:numFmt w:val="bullet"/>
      <w:start w:val="1"/>
    </w:lvl>
    <w:lvl w:ilvl="1">
      <w:lvlJc w:val="left"/>
      <w:lvlText w:val="%2."/>
      <w:numFmt w:val="lowerRoman"/>
      <w:start w:val="1"/>
    </w:lvl>
  </w:abstractNum>
  <w:abstractNum w:abstractNumId="96">
    <w:nsid w:val="3F7C2FF4"/>
    <w:multiLevelType w:val="hybridMultilevel"/>
    <w:lvl w:ilvl="0">
      <w:lvlJc w:val="left"/>
      <w:lvlText w:val="\emdash "/>
      <w:numFmt w:val="bullet"/>
      <w:start w:val="1"/>
    </w:lvl>
  </w:abstractNum>
  <w:abstractNum w:abstractNumId="97">
    <w:nsid w:val="25413BEC"/>
    <w:multiLevelType w:val="hybridMultilevel"/>
    <w:lvl w:ilvl="0">
      <w:lvlJc w:val="left"/>
      <w:lvlText w:val="%1."/>
      <w:numFmt w:val="lowerRoman"/>
      <w:start w:val="1"/>
    </w:lvl>
  </w:abstractNum>
  <w:abstractNum w:abstractNumId="98">
    <w:nsid w:val="17180B0B"/>
    <w:multiLevelType w:val="hybridMultilevel"/>
    <w:lvl w:ilvl="0">
      <w:lvlJc w:val="left"/>
      <w:lvlText w:val="(%1)"/>
      <w:numFmt w:val="lowerRoman"/>
      <w:start w:val="1"/>
    </w:lvl>
  </w:abstractNum>
  <w:abstractNum w:abstractNumId="99">
    <w:nsid w:val="579328B9"/>
    <w:multiLevelType w:val="hybridMultilevel"/>
    <w:lvl w:ilvl="0">
      <w:lvlJc w:val="left"/>
      <w:lvlText w:val="%1."/>
      <w:numFmt w:val="lowerRoman"/>
      <w:start w:val="1"/>
    </w:lvl>
  </w:abstractNum>
  <w:abstractNum w:abstractNumId="100">
    <w:nsid w:val="5D205E20"/>
    <w:multiLevelType w:val="hybridMultilevel"/>
    <w:lvl w:ilvl="0">
      <w:lvlJc w:val="left"/>
      <w:lvlText w:val="1"/>
      <w:numFmt w:val="bullet"/>
      <w:start w:val="1"/>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Letter"/>
      <w:start w:val="2"/>
    </w:lvl>
  </w:abstractNum>
  <w:abstractNum w:abstractNumId="103">
    <w:nsid w:val="3F07ACC3"/>
    <w:multiLevelType w:val="hybridMultilevel"/>
    <w:lvl w:ilvl="0">
      <w:lvlJc w:val="left"/>
      <w:lvlText w:val="(%1)"/>
      <w:numFmt w:val="lowerLetter"/>
      <w:start w:val="3"/>
    </w:lvl>
  </w:abstractNum>
  <w:abstractNum w:abstractNumId="104">
    <w:nsid w:val="6B47F63E"/>
    <w:multiLevelType w:val="hybridMultilevel"/>
    <w:lvl w:ilvl="0">
      <w:lvlJc w:val="left"/>
      <w:lvlText w:val="(%1)"/>
      <w:numFmt w:val="lowerLetter"/>
      <w:start w:val="4"/>
    </w:lvl>
  </w:abstractNum>
  <w:abstractNum w:abstractNumId="105">
    <w:nsid w:val="5CB44A05"/>
    <w:multiLevelType w:val="hybridMultilevel"/>
    <w:lvl w:ilvl="0">
      <w:lvlJc w:val="left"/>
      <w:lvlText w:val="(%1)"/>
      <w:numFmt w:val="lowerRoman"/>
      <w:start w:val="1"/>
    </w:lvl>
  </w:abstractNum>
  <w:abstractNum w:abstractNumId="106">
    <w:nsid w:val="16CF80F1"/>
    <w:multiLevelType w:val="hybridMultilevel"/>
    <w:lvl w:ilvl="0">
      <w:lvlJc w:val="left"/>
      <w:lvlText w:val="(%1)"/>
      <w:numFmt w:val="lowerRoman"/>
      <w:start w:val="2"/>
    </w:lvl>
  </w:abstractNum>
  <w:abstractNum w:abstractNumId="107">
    <w:nsid w:val="1C695DEC"/>
    <w:multiLevelType w:val="hybridMultilevel"/>
    <w:lvl w:ilvl="0">
      <w:lvlJc w:val="left"/>
      <w:lvlText w:val="(%1)"/>
      <w:numFmt w:val="lowerRoman"/>
      <w:start w:val="5"/>
    </w:lvl>
  </w:abstractNum>
  <w:abstractNum w:abstractNumId="108">
    <w:nsid w:val="3FCFAED9"/>
    <w:multiLevelType w:val="hybridMultilevel"/>
    <w:lvl w:ilvl="0">
      <w:lvlJc w:val="left"/>
      <w:lvlText w:val="%1"/>
      <w:numFmt w:val="decimal"/>
      <w:start w:val="1"/>
    </w:lvl>
    <w:lvl w:ilvl="1">
      <w:lvlJc w:val="left"/>
      <w:lvlText w:val="(%2)"/>
      <w:numFmt w:val="lowerRoman"/>
      <w:start w:val="6"/>
    </w:lvl>
  </w:abstractNum>
  <w:abstractNum w:abstractNumId="109">
    <w:nsid w:val="F856867"/>
    <w:multiLevelType w:val="hybridMultilevel"/>
    <w:lvl w:ilvl="0">
      <w:lvlJc w:val="left"/>
      <w:lvlText w:val="%1."/>
      <w:numFmt w:val="decimal"/>
      <w:start w:val="29"/>
    </w:lvl>
    <w:lvl w:ilvl="1">
      <w:lvlJc w:val="left"/>
      <w:lvlText w:val="%2"/>
      <w:numFmt w:val="lowerRoman"/>
      <w:start w:val="1"/>
    </w:lvl>
  </w:abstractNum>
  <w:abstractNum w:abstractNumId="110">
    <w:nsid w:val="11B1CC33"/>
    <w:multiLevelType w:val="hybridMultilevel"/>
    <w:lvl w:ilvl="0">
      <w:lvlJc w:val="left"/>
      <w:lvlText w:val="1"/>
      <w:numFmt w:val="bullet"/>
      <w:start w:val="1"/>
    </w:lvl>
  </w:abstractNum>
  <w:abstractNum w:abstractNumId="111">
    <w:nsid w:val="2E22FBB7"/>
    <w:multiLevelType w:val="hybridMultilevel"/>
    <w:lvl w:ilvl="0">
      <w:lvlJc w:val="left"/>
      <w:lvlText w:val="%1."/>
      <w:numFmt w:val="upperLetter"/>
      <w:start w:val="1"/>
    </w:lvl>
  </w:abstractNum>
  <w:abstractNum w:abstractNumId="112">
    <w:nsid w:val="29934699"/>
    <w:multiLevelType w:val="hybridMultilevel"/>
    <w:lvl w:ilvl="0">
      <w:lvlJc w:val="left"/>
      <w:lvlText w:val="%1."/>
      <w:numFmt w:val="upperLetter"/>
      <w:start w:val="6"/>
    </w:lvl>
  </w:abstractNum>
  <w:abstractNum w:abstractNumId="113">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744939A3"/>
    <w:multiLevelType w:val="hybridMultilevel"/>
    <w:lvl w:ilvl="0">
      <w:lvlJc w:val="left"/>
      <w:lvlText w:val="(%1)"/>
      <w:numFmt w:val="lowerRoman"/>
      <w:start w:val="2"/>
    </w:lvl>
    <w:lvl w:ilvl="1">
      <w:lvlJc w:val="left"/>
      <w:lvlText w:val="(%2)"/>
      <w:numFmt w:val="decimal"/>
      <w:start w:val="1"/>
    </w:lvl>
  </w:abstractNum>
  <w:abstractNum w:abstractNumId="115">
    <w:nsid w:val="4FA0D2E3"/>
    <w:multiLevelType w:val="hybridMultilevel"/>
    <w:lvl w:ilvl="0">
      <w:lvlJc w:val="left"/>
      <w:lvlText w:val="%1"/>
      <w:numFmt w:val="lowerLetter"/>
      <w:start w:val="1"/>
    </w:lvl>
    <w:lvl w:ilvl="1">
      <w:lvlJc w:val="left"/>
      <w:lvlText w:val="(%2)"/>
      <w:numFmt w:val="lowerLetter"/>
      <w:start w:val="9"/>
    </w:lvl>
  </w:abstractNum>
  <w:abstractNum w:abstractNumId="116">
    <w:nsid w:val="6B1D2C14"/>
    <w:multiLevelType w:val="hybridMultilevel"/>
    <w:lvl w:ilvl="0">
      <w:lvlJc w:val="left"/>
      <w:lvlText w:val="(%1)"/>
      <w:numFmt w:val="lowerLetter"/>
      <w:start w:val="3"/>
    </w:lvl>
    <w:lvl w:ilvl="1">
      <w:lvlJc w:val="left"/>
      <w:lvlText w:val="(%2)"/>
      <w:numFmt w:val="lowerLetter"/>
      <w:start w:val="9"/>
    </w:lvl>
  </w:abstractNum>
  <w:abstractNum w:abstractNumId="117">
    <w:nsid w:val="68B867D3"/>
    <w:multiLevelType w:val="hybridMultilevel"/>
    <w:lvl w:ilvl="0">
      <w:lvlJc w:val="left"/>
      <w:lvlText w:val="(%1)"/>
      <w:numFmt w:val="lowerRoman"/>
      <w:start w:val="2"/>
    </w:lvl>
  </w:abstractNum>
  <w:abstractNum w:abstractNumId="118">
    <w:nsid w:val="3F7F5DD9"/>
    <w:multiLevelType w:val="hybridMultilevel"/>
    <w:lvl w:ilvl="0">
      <w:lvlJc w:val="left"/>
      <w:lvlText w:val="%1."/>
      <w:numFmt w:val="decimal"/>
      <w:start w:val="2"/>
    </w:lvl>
  </w:abstractNum>
  <w:abstractNum w:abstractNumId="119">
    <w:nsid w:val="2AE05A34"/>
    <w:multiLevelType w:val="hybridMultilevel"/>
    <w:lvl w:ilvl="0">
      <w:lvlJc w:val="left"/>
      <w:lvlText w:val="(%1)"/>
      <w:numFmt w:val="lowerLetter"/>
      <w:start w:val="1"/>
    </w:lvl>
  </w:abstractNum>
  <w:abstractNum w:abstractNumId="120">
    <w:nsid w:val="32794FF7"/>
    <w:multiLevelType w:val="hybridMultilevel"/>
    <w:lvl w:ilvl="0">
      <w:lvlJc w:val="left"/>
      <w:lvlText w:val="(%1)"/>
      <w:numFmt w:val="lowerLetter"/>
      <w:start w:val="5"/>
    </w:lvl>
  </w:abstractNum>
  <w:abstractNum w:abstractNumId="121">
    <w:nsid w:val="5454945E"/>
    <w:multiLevelType w:val="hybridMultilevel"/>
    <w:lvl w:ilvl="0">
      <w:lvlJc w:val="left"/>
      <w:lvlText w:val="(%1)"/>
      <w:numFmt w:val="lowerLetter"/>
      <w:start w:val="12"/>
    </w:lvl>
  </w:abstractNum>
  <w:abstractNum w:abstractNumId="122">
    <w:nsid w:val="4DEFDFA0"/>
    <w:multiLevelType w:val="hybridMultilevel"/>
    <w:lvl w:ilvl="0">
      <w:lvlJc w:val="left"/>
      <w:lvlText w:val="%1"/>
      <w:numFmt w:val="lowerLetter"/>
      <w:start w:val="1"/>
    </w:lvl>
    <w:lvl w:ilvl="1">
      <w:lvlJc w:val="left"/>
      <w:lvlText w:val="(%2)"/>
      <w:numFmt w:val="lowerLetter"/>
      <w:start w:val="13"/>
    </w:lvl>
  </w:abstractNum>
  <w:abstractNum w:abstractNumId="123">
    <w:nsid w:val="2123D5F2"/>
    <w:multiLevelType w:val="hybridMultilevel"/>
    <w:lvl w:ilvl="0">
      <w:lvlJc w:val="left"/>
      <w:lvlText w:val="(%1)"/>
      <w:numFmt w:val="lowerLetter"/>
      <w:start w:val="35"/>
    </w:lvl>
    <w:lvl w:ilvl="1">
      <w:lvlJc w:val="left"/>
      <w:lvlText w:val="(%2)"/>
      <w:numFmt w:val="lowerLetter"/>
      <w:start w:val="15"/>
    </w:lvl>
  </w:abstractNum>
  <w:abstractNum w:abstractNumId="124">
    <w:nsid w:val="135B8110"/>
    <w:multiLevelType w:val="hybridMultilevel"/>
    <w:lvl w:ilvl="0">
      <w:lvlJc w:val="left"/>
      <w:lvlText w:val="%1."/>
      <w:numFmt w:val="decimal"/>
      <w:start w:val="3"/>
    </w:lvl>
  </w:abstractNum>
  <w:abstractNum w:abstractNumId="125">
    <w:nsid w:val="94927A8"/>
    <w:multiLevelType w:val="hybridMultilevel"/>
    <w:lvl w:ilvl="0">
      <w:lvlJc w:val="left"/>
      <w:lvlText w:val="(%1)"/>
      <w:numFmt w:val="lowerLetter"/>
      <w:start w:val="1"/>
    </w:lvl>
  </w:abstractNum>
  <w:abstractNum w:abstractNumId="126">
    <w:nsid w:val="DCDF8F6"/>
    <w:multiLevelType w:val="hybridMultilevel"/>
    <w:lvl w:ilvl="0">
      <w:lvlJc w:val="left"/>
      <w:lvlText w:val="%1"/>
      <w:numFmt w:val="lowerLetter"/>
      <w:start w:val="1"/>
    </w:lvl>
    <w:lvl w:ilvl="1">
      <w:lvlJc w:val="left"/>
      <w:lvlText w:val="(%2)"/>
      <w:numFmt w:val="lowerRoman"/>
      <w:start w:val="1"/>
    </w:lvl>
  </w:abstractNum>
  <w:abstractNum w:abstractNumId="127">
    <w:nsid w:val="52D7B105"/>
    <w:multiLevelType w:val="hybridMultilevel"/>
    <w:lvl w:ilvl="0">
      <w:lvlJc w:val="left"/>
      <w:lvlText w:val="(%1)"/>
      <w:numFmt w:val="lowerLetter"/>
      <w:start w:val="2"/>
    </w:lvl>
    <w:lvl w:ilvl="1">
      <w:lvlJc w:val="left"/>
      <w:lvlText w:val="%2"/>
      <w:numFmt w:val="lowerRoman"/>
      <w:start w:val="1"/>
    </w:lvl>
  </w:abstractNum>
  <w:abstractNum w:abstractNumId="128">
    <w:nsid w:val="2E8A6394"/>
    <w:multiLevelType w:val="hybridMultilevel"/>
    <w:lvl w:ilvl="0">
      <w:lvlJc w:val="left"/>
      <w:lvlText w:val="(%1)"/>
      <w:numFmt w:val="lowerLetter"/>
      <w:start w:val="3"/>
    </w:lvl>
  </w:abstractNum>
  <w:abstractNum w:abstractNumId="129">
    <w:nsid w:val="24E60401"/>
    <w:multiLevelType w:val="hybridMultilevel"/>
    <w:lvl w:ilvl="0">
      <w:lvlJc w:val="left"/>
      <w:lvlText w:val="(%1)"/>
      <w:numFmt w:val="lowerLetter"/>
      <w:start w:val="4"/>
    </w:lvl>
  </w:abstractNum>
  <w:abstractNum w:abstractNumId="130">
    <w:nsid w:val="2A6AD9BE"/>
    <w:multiLevelType w:val="hybridMultilevel"/>
    <w:lvl w:ilvl="0">
      <w:lvlJc w:val="left"/>
      <w:lvlText w:val="(%1)"/>
      <w:numFmt w:val="lowerLetter"/>
      <w:start w:val="5"/>
    </w:lvl>
  </w:abstractNum>
  <w:abstractNum w:abstractNumId="131">
    <w:nsid w:val="BAAC1B4"/>
    <w:multiLevelType w:val="hybridMultilevel"/>
    <w:lvl w:ilvl="0">
      <w:lvlJc w:val="left"/>
      <w:lvlText w:val="(%1)"/>
      <w:numFmt w:val="lowerLetter"/>
      <w:start w:val="7"/>
    </w:lvl>
  </w:abstractNum>
  <w:abstractNum w:abstractNumId="132">
    <w:nsid w:val="36B2ACBC"/>
    <w:multiLevelType w:val="hybridMultilevel"/>
    <w:lvl w:ilvl="0">
      <w:lvlJc w:val="left"/>
      <w:lvlText w:val="(%1)"/>
      <w:numFmt w:val="lowerLetter"/>
      <w:start w:val="11"/>
    </w:lvl>
  </w:abstractNum>
  <w:abstractNum w:abstractNumId="133">
    <w:nsid w:val="779D8544"/>
    <w:multiLevelType w:val="hybridMultilevel"/>
    <w:lvl w:ilvl="0">
      <w:lvlJc w:val="left"/>
      <w:lvlText w:val="(%1)"/>
      <w:numFmt w:val="lowerLetter"/>
      <w:start w:val="12"/>
    </w:lvl>
  </w:abstractNum>
  <w:abstractNum w:abstractNumId="134">
    <w:nsid w:val="4AB26E78"/>
    <w:multiLevelType w:val="hybridMultilevel"/>
    <w:lvl w:ilvl="0">
      <w:lvlJc w:val="left"/>
      <w:lvlText w:val="(%1)"/>
      <w:numFmt w:val="lowerLetter"/>
      <w:start w:val="15"/>
    </w:lvl>
    <w:lvl w:ilvl="1">
      <w:lvlJc w:val="left"/>
      <w:lvlText w:val="(%2)"/>
      <w:numFmt w:val="lowerRoman"/>
      <w:start w:val="1"/>
    </w:lvl>
  </w:abstractNum>
  <w:abstractNum w:abstractNumId="135">
    <w:nsid w:val="21FAA2FA"/>
    <w:multiLevelType w:val="hybridMultilevel"/>
    <w:lvl w:ilvl="0">
      <w:lvlJc w:val="left"/>
      <w:lvlText w:val="(%1)"/>
      <w:numFmt w:val="lowerLetter"/>
      <w:start w:val="16"/>
    </w:lvl>
    <w:lvl w:ilvl="1">
      <w:lvlJc w:val="left"/>
      <w:lvlText w:val="(%2)"/>
      <w:numFmt w:val="lowerLetter"/>
      <w:start w:val="9"/>
    </w:lvl>
  </w:abstractNum>
  <w:abstractNum w:abstractNumId="136">
    <w:nsid w:val="5451CF49"/>
    <w:multiLevelType w:val="hybridMultilevel"/>
    <w:lvl w:ilvl="0">
      <w:lvlJc w:val="left"/>
      <w:lvlText w:val="(%1)"/>
      <w:numFmt w:val="upperLetter"/>
      <w:start w:val="1"/>
    </w:lvl>
  </w:abstractNum>
  <w:abstractNum w:abstractNumId="137">
    <w:nsid w:val="6181EF69"/>
    <w:multiLevelType w:val="hybridMultilevel"/>
    <w:lvl w:ilvl="0">
      <w:lvlJc w:val="left"/>
      <w:lvlText w:val="(%1)"/>
      <w:numFmt w:val="upperLetter"/>
      <w:start w:val="2"/>
    </w:lvl>
  </w:abstractNum>
  <w:abstractNum w:abstractNumId="138">
    <w:nsid w:val="3E6400E6"/>
    <w:multiLevelType w:val="hybridMultilevel"/>
    <w:lvl w:ilvl="0">
      <w:lvlJc w:val="left"/>
      <w:lvlText w:val="%1"/>
      <w:numFmt w:val="lowerRoman"/>
      <w:start w:val="1"/>
    </w:lvl>
    <w:lvl w:ilvl="1">
      <w:lvlJc w:val="left"/>
      <w:lvlText w:val="(%2)"/>
      <w:numFmt w:val="lowerRoman"/>
      <w:start w:val="2"/>
    </w:lvl>
  </w:abstractNum>
  <w:abstractNum w:abstractNumId="139">
    <w:nsid w:val="14217E23"/>
    <w:multiLevelType w:val="hybridMultilevel"/>
    <w:lvl w:ilvl="0">
      <w:lvlJc w:val="left"/>
      <w:lvlText w:val="(%1)"/>
      <w:numFmt w:val="lowerRoman"/>
      <w:start w:val="3"/>
    </w:lvl>
    <w:lvl w:ilvl="1">
      <w:lvlJc w:val="left"/>
      <w:lvlText w:val="(%2)"/>
      <w:numFmt w:val="lowerRoman"/>
      <w:start w:val="4"/>
    </w:lvl>
  </w:abstractNum>
  <w:abstractNum w:abstractNumId="140">
    <w:nsid w:val="710757D0"/>
    <w:multiLevelType w:val="hybridMultilevel"/>
    <w:lvl w:ilvl="0">
      <w:lvlJc w:val="left"/>
      <w:lvlText w:val="%1"/>
      <w:numFmt w:val="lowerLetter"/>
      <w:start w:val="1"/>
    </w:lvl>
    <w:lvl w:ilvl="1">
      <w:lvlJc w:val="left"/>
      <w:lvlText w:val="(%2)"/>
      <w:numFmt w:val="lowerLetter"/>
      <w:start w:val="22"/>
    </w:lvl>
  </w:abstractNum>
  <w:abstractNum w:abstractNumId="141">
    <w:nsid w:val="5015CD1A"/>
    <w:multiLevelType w:val="hybridMultilevel"/>
    <w:lvl w:ilvl="0">
      <w:lvlJc w:val="left"/>
      <w:lvlText w:val="(%1)"/>
      <w:numFmt w:val="lowerLetter"/>
      <w:start w:val="19"/>
    </w:lvl>
    <w:lvl w:ilvl="1">
      <w:lvlJc w:val="left"/>
      <w:lvlText w:val="%2"/>
      <w:numFmt w:val="lowerLetter"/>
      <w:start w:val="1"/>
    </w:lvl>
  </w:abstractNum>
  <w:abstractNum w:abstractNumId="142">
    <w:nsid w:val="424479DA"/>
    <w:multiLevelType w:val="hybridMultilevel"/>
    <w:lvl w:ilvl="0">
      <w:lvlJc w:val="left"/>
      <w:lvlText w:val="(%1)"/>
      <w:numFmt w:val="lowerLetter"/>
      <w:start w:val="20"/>
    </w:lvl>
  </w:abstractNum>
  <w:abstractNum w:abstractNumId="143">
    <w:nsid w:val="1A9A9E69"/>
    <w:multiLevelType w:val="hybridMultilevel"/>
    <w:lvl w:ilvl="0">
      <w:lvlJc w:val="left"/>
      <w:lvlText w:val="(%1)"/>
      <w:numFmt w:val="lowerLetter"/>
      <w:start w:val="21"/>
    </w:lvl>
    <w:lvl w:ilvl="1">
      <w:lvlJc w:val="left"/>
      <w:lvlText w:val="(%2)"/>
      <w:numFmt w:val="lowerLetter"/>
      <w:start w:val="9"/>
    </w:lvl>
  </w:abstractNum>
  <w:abstractNum w:abstractNumId="144">
    <w:nsid w:val="475E256A"/>
    <w:multiLevelType w:val="hybridMultilevel"/>
    <w:lvl w:ilvl="0">
      <w:lvlJc w:val="left"/>
      <w:lvlText w:val="%1"/>
      <w:numFmt w:val="lowerLetter"/>
      <w:start w:val="1"/>
    </w:lvl>
    <w:lvl w:ilvl="1">
      <w:lvlJc w:val="left"/>
      <w:lvlText w:val="(%2)"/>
      <w:numFmt w:val="lowerLetter"/>
      <w:start w:val="35"/>
    </w:lvl>
  </w:abstractNum>
  <w:abstractNum w:abstractNumId="145">
    <w:nsid w:val="368DB37E"/>
    <w:multiLevelType w:val="hybridMultilevel"/>
    <w:lvl w:ilvl="0">
      <w:lvlJc w:val="left"/>
      <w:lvlText w:val="(%1)"/>
      <w:numFmt w:val="lowerLetter"/>
      <w:start w:val="24"/>
    </w:lvl>
    <w:lvl w:ilvl="1">
      <w:lvlJc w:val="left"/>
      <w:lvlText w:val="%2"/>
      <w:numFmt w:val="lowerLetter"/>
      <w:start w:val="1"/>
    </w:lvl>
  </w:abstractNum>
  <w:abstractNum w:abstractNumId="146">
    <w:nsid w:val="6A3B714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7">
    <w:nsid w:val="327B517E"/>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148">
    <w:nsid w:val="1F461B51"/>
    <w:multiLevelType w:val="hybridMultilevel"/>
    <w:lvl w:ilvl="0">
      <w:lvlJc w:val="left"/>
      <w:lvlText w:val="(%1)"/>
      <w:numFmt w:val="lowerLetter"/>
      <w:start w:val="27"/>
    </w:lvl>
  </w:abstractNum>
  <w:abstractNum w:abstractNumId="149">
    <w:nsid w:val="29BACF25"/>
    <w:multiLevelType w:val="hybridMultilevel"/>
    <w:lvl w:ilvl="0">
      <w:lvlJc w:val="left"/>
      <w:lvlText w:val="%1"/>
      <w:numFmt w:val="lowerLetter"/>
      <w:start w:val="1"/>
    </w:lvl>
    <w:lvl w:ilvl="1">
      <w:lvlJc w:val="left"/>
      <w:lvlText w:val="(%2)"/>
      <w:numFmt w:val="lowerLetter"/>
      <w:start w:val="28"/>
    </w:lvl>
  </w:abstractNum>
  <w:abstractNum w:abstractNumId="150">
    <w:nsid w:val="5D5BABB3"/>
    <w:multiLevelType w:val="hybridMultilevel"/>
    <w:lvl w:ilvl="0">
      <w:lvlJc w:val="left"/>
      <w:lvlText w:val="(%1)"/>
      <w:numFmt w:val="lowerLetter"/>
      <w:start w:val="9"/>
    </w:lvl>
    <w:lvl w:ilvl="1">
      <w:lvlJc w:val="left"/>
      <w:lvlText w:val="%2"/>
      <w:numFmt w:val="lowerLetter"/>
      <w:start w:val="1"/>
    </w:lvl>
  </w:abstractNum>
  <w:abstractNum w:abstractNumId="151">
    <w:nsid w:val="51BF6B48"/>
    <w:multiLevelType w:val="hybridMultilevel"/>
    <w:lvl w:ilvl="0">
      <w:lvlJc w:val="left"/>
      <w:lvlText w:val="(%1)"/>
      <w:numFmt w:val="lowerLetter"/>
      <w:start w:val="32"/>
    </w:lvl>
  </w:abstractNum>
  <w:abstractNum w:abstractNumId="152">
    <w:nsid w:val="7E0F6384"/>
    <w:multiLevelType w:val="hybridMultilevel"/>
    <w:lvl w:ilvl="0">
      <w:lvlJc w:val="left"/>
      <w:lvlText w:val="(%1)"/>
      <w:numFmt w:val="lowerLetter"/>
      <w:start w:val="36"/>
    </w:lvl>
    <w:lvl w:ilvl="1">
      <w:lvlJc w:val="left"/>
      <w:lvlText w:val="(%2)"/>
      <w:numFmt w:val="lowerRoman"/>
      <w:start w:val="1"/>
    </w:lvl>
  </w:abstractNum>
  <w:abstractNum w:abstractNumId="153">
    <w:nsid w:val="2B4B8B53"/>
    <w:multiLevelType w:val="hybridMultilevel"/>
    <w:lvl w:ilvl="0">
      <w:lvlJc w:val="left"/>
      <w:lvlText w:val="(%1)"/>
      <w:numFmt w:val="lowerLetter"/>
      <w:start w:val="40"/>
    </w:lvl>
    <w:lvl w:ilvl="1">
      <w:lvlJc w:val="left"/>
      <w:lvlText w:val="(%2)"/>
      <w:numFmt w:val="lowerRoman"/>
      <w:start w:val="1"/>
    </w:lvl>
    <w:lvl w:ilvl="2">
      <w:lvlJc w:val="left"/>
      <w:lvlText w:val="(%3)"/>
      <w:numFmt w:val="decimal"/>
      <w:start w:val="1"/>
    </w:lvl>
  </w:abstractNum>
  <w:abstractNum w:abstractNumId="154">
    <w:nsid w:val="72E3413A"/>
    <w:multiLevelType w:val="hybridMultilevel"/>
    <w:lvl w:ilvl="0">
      <w:lvlJc w:val="left"/>
      <w:lvlText w:val="(%1)"/>
      <w:numFmt w:val="lowerLetter"/>
      <w:start w:val="41"/>
    </w:lvl>
  </w:abstractNum>
  <w:abstractNum w:abstractNumId="155">
    <w:nsid w:val="116AE494"/>
    <w:multiLevelType w:val="hybridMultilevel"/>
    <w:lvl w:ilvl="0">
      <w:lvlJc w:val="left"/>
      <w:lvlText w:val="(%1)"/>
      <w:numFmt w:val="lowerLetter"/>
      <w:start w:val="49"/>
    </w:lvl>
  </w:abstractNum>
  <w:abstractNum w:abstractNumId="156">
    <w:nsid w:val="3494B2FB"/>
    <w:multiLevelType w:val="hybridMultilevel"/>
    <w:lvl w:ilvl="0">
      <w:lvlJc w:val="left"/>
      <w:lvlText w:val="(%1)"/>
      <w:numFmt w:val="lowerRoman"/>
      <w:start w:val="20"/>
    </w:lvl>
  </w:abstractNum>
  <w:abstractNum w:abstractNumId="157">
    <w:nsid w:val="B13A31"/>
    <w:multiLevelType w:val="hybridMultilevel"/>
    <w:lvl w:ilvl="0">
      <w:lvlJc w:val="left"/>
      <w:lvlText w:val="(%1)"/>
      <w:numFmt w:val="lowerLetter"/>
      <w:start w:val="48"/>
    </w:lvl>
  </w:abstractNum>
  <w:abstractNum w:abstractNumId="158">
    <w:nsid w:val="64429599"/>
    <w:multiLevelType w:val="hybridMultilevel"/>
    <w:lvl w:ilvl="0">
      <w:lvlJc w:val="left"/>
      <w:lvlText w:val="(%1)"/>
      <w:numFmt w:val="lowerLetter"/>
      <w:start w:val="49"/>
    </w:lvl>
  </w:abstractNum>
  <w:abstractNum w:abstractNumId="159">
    <w:nsid w:val="631F1690"/>
    <w:multiLevelType w:val="hybridMultilevel"/>
    <w:lvl w:ilvl="0">
      <w:lvlJc w:val="left"/>
      <w:lvlText w:val="(%1)"/>
      <w:numFmt w:val="lowerLetter"/>
      <w:start w:val="51"/>
    </w:lvl>
  </w:abstractNum>
  <w:abstractNum w:abstractNumId="160">
    <w:nsid w:val="25973E32"/>
    <w:multiLevelType w:val="hybridMultilevel"/>
    <w:lvl w:ilvl="0">
      <w:lvlJc w:val="left"/>
      <w:lvlText w:val="(%1)"/>
      <w:numFmt w:val="lowerLetter"/>
      <w:start w:val="53"/>
    </w:lvl>
  </w:abstractNum>
  <w:abstractNum w:abstractNumId="161">
    <w:nsid w:val="EAD6F5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2">
    <w:nsid w:val="6EC9D844"/>
    <w:multiLevelType w:val="hybridMultilevel"/>
    <w:lvl w:ilvl="0">
      <w:lvlJc w:val="left"/>
      <w:lvlText w:val="%1"/>
      <w:numFmt w:val="lowerLetter"/>
      <w:start w:val="1"/>
    </w:lvl>
    <w:lvl w:ilvl="1">
      <w:lvlJc w:val="left"/>
      <w:lvlText w:val="(%2)"/>
      <w:numFmt w:val="lowerLetter"/>
      <w:start w:val="35"/>
    </w:lvl>
  </w:abstractNum>
  <w:abstractNum w:abstractNumId="163">
    <w:nsid w:val="5C49EAEE"/>
    <w:multiLevelType w:val="hybridMultilevel"/>
    <w:lvl w:ilvl="0">
      <w:lvlJc w:val="left"/>
      <w:lvlText w:val="(%1)"/>
      <w:numFmt w:val="lowerLetter"/>
      <w:start w:val="3"/>
    </w:lvl>
    <w:lvl w:ilvl="1">
      <w:lvlJc w:val="left"/>
      <w:lvlText w:val="%2"/>
      <w:numFmt w:val="lowerLetter"/>
      <w:start w:val="1"/>
    </w:lvl>
  </w:abstractNum>
  <w:abstractNum w:abstractNumId="164">
    <w:nsid w:val="64AF49B"/>
    <w:multiLevelType w:val="hybridMultilevel"/>
    <w:lvl w:ilvl="0">
      <w:lvlJc w:val="left"/>
      <w:lvlText w:val="(%1)"/>
      <w:numFmt w:val="lowerLetter"/>
      <w:start w:val="4"/>
    </w:lvl>
  </w:abstractNum>
  <w:abstractNum w:abstractNumId="165">
    <w:nsid w:val="397C46BC"/>
    <w:multiLevelType w:val="hybridMultilevel"/>
    <w:lvl w:ilvl="0">
      <w:lvlJc w:val="left"/>
      <w:lvlText w:val="%1"/>
      <w:numFmt w:val="decimal"/>
      <w:start w:val="1"/>
    </w:lvl>
    <w:lvl w:ilvl="1">
      <w:lvlJc w:val="left"/>
      <w:lvlText w:val="(%2)"/>
      <w:numFmt w:val="lowerLetter"/>
      <w:start w:val="6"/>
    </w:lvl>
  </w:abstractNum>
  <w:abstractNum w:abstractNumId="166">
    <w:nsid w:val="7E448DE9"/>
    <w:multiLevelType w:val="hybridMultilevel"/>
    <w:lvl w:ilvl="0">
      <w:lvlJc w:val="left"/>
      <w:lvlText w:val="(%1)"/>
      <w:numFmt w:val="decimal"/>
      <w:start w:val="1"/>
    </w:lvl>
    <w:lvl w:ilvl="1">
      <w:lvlJc w:val="left"/>
      <w:lvlText w:val="(%2)"/>
      <w:numFmt w:val="lowerLetter"/>
      <w:start w:val="9"/>
    </w:lvl>
  </w:abstractNum>
  <w:abstractNum w:abstractNumId="167">
    <w:nsid w:val="5A9CC3E5"/>
    <w:multiLevelType w:val="hybridMultilevel"/>
    <w:lvl w:ilvl="0">
      <w:lvlJc w:val="left"/>
      <w:lvlText w:val="(%1)"/>
      <w:numFmt w:val="lowerLetter"/>
      <w:start w:val="10"/>
    </w:lvl>
    <w:lvl w:ilvl="1">
      <w:lvlJc w:val="left"/>
      <w:lvlText w:val="(%2)"/>
      <w:numFmt w:val="lowerLetter"/>
      <w:start w:val="9"/>
    </w:lvl>
  </w:abstractNum>
  <w:abstractNum w:abstractNumId="168">
    <w:nsid w:val="1AFE3625"/>
    <w:multiLevelType w:val="hybridMultilevel"/>
    <w:lvl w:ilvl="0">
      <w:lvlJc w:val="left"/>
      <w:lvlText w:val="(%1)"/>
      <w:numFmt w:val="decimal"/>
      <w:start w:val="1"/>
    </w:lvl>
  </w:abstractNum>
  <w:abstractNum w:abstractNumId="169">
    <w:nsid w:val="3CA88ECF"/>
    <w:multiLevelType w:val="hybridMultilevel"/>
    <w:lvl w:ilvl="0">
      <w:lvlJc w:val="left"/>
      <w:lvlText w:val="(%1)"/>
      <w:numFmt w:val="lowerRoman"/>
      <w:start w:val="2"/>
    </w:lvl>
  </w:abstractNum>
  <w:abstractNum w:abstractNumId="170">
    <w:nsid w:val="6EBE4208"/>
    <w:multiLevelType w:val="hybridMultilevel"/>
    <w:lvl w:ilvl="0">
      <w:lvlJc w:val="left"/>
      <w:lvlText w:val="(%1)"/>
      <w:numFmt w:val="lowerLetter"/>
      <w:start w:val="13"/>
    </w:lvl>
    <w:lvl w:ilvl="1">
      <w:lvlJc w:val="left"/>
      <w:lvlText w:val="(%2)"/>
      <w:numFmt w:val="lowerRoman"/>
      <w:start w:val="1"/>
    </w:lvl>
  </w:abstractNum>
  <w:abstractNum w:abstractNumId="171">
    <w:nsid w:val="C058DF5"/>
    <w:multiLevelType w:val="hybridMultilevel"/>
    <w:lvl w:ilvl="0">
      <w:lvlJc w:val="left"/>
      <w:lvlText w:val="(%1)"/>
      <w:numFmt w:val="lowerLetter"/>
      <w:start w:val="15"/>
    </w:lvl>
  </w:abstractNum>
  <w:abstractNum w:abstractNumId="172">
    <w:nsid w:val="CBE5BE9"/>
    <w:multiLevelType w:val="hybridMultilevel"/>
    <w:lvl w:ilvl="0">
      <w:lvlJc w:val="left"/>
      <w:lvlText w:val="(%1)"/>
      <w:numFmt w:val="lowerLetter"/>
      <w:start w:val="18"/>
    </w:lvl>
    <w:lvl w:ilvl="1">
      <w:lvlJc w:val="left"/>
      <w:lvlText w:val="(%2)"/>
      <w:numFmt w:val="decimal"/>
      <w:start w:val="1"/>
    </w:lvl>
    <w:lvl w:ilvl="2">
      <w:lvlJc w:val="left"/>
      <w:lvlText w:val="(%3)"/>
      <w:numFmt w:val="lowerLetter"/>
      <w:start w:val="9"/>
    </w:lvl>
  </w:abstractNum>
  <w:abstractNum w:abstractNumId="173">
    <w:nsid w:val="3102BBE2"/>
    <w:multiLevelType w:val="hybridMultilevel"/>
    <w:lvl w:ilvl="0">
      <w:lvlJc w:val="left"/>
      <w:lvlText w:val="(%1)"/>
      <w:numFmt w:val="lowerRoman"/>
      <w:start w:val="2"/>
    </w:lvl>
  </w:abstractNum>
  <w:abstractNum w:abstractNumId="174">
    <w:nsid w:val="26A02C5E"/>
    <w:multiLevelType w:val="hybridMultilevel"/>
    <w:lvl w:ilvl="0">
      <w:lvlJc w:val="left"/>
      <w:lvlText w:val="%1"/>
      <w:numFmt w:val="lowerRoman"/>
      <w:start w:val="1"/>
    </w:lvl>
    <w:lvl w:ilvl="1">
      <w:lvlJc w:val="left"/>
      <w:lvlText w:val="(%2)"/>
      <w:numFmt w:val="lowerRoman"/>
      <w:start w:val="4"/>
    </w:lvl>
  </w:abstractNum>
  <w:abstractNum w:abstractNumId="175">
    <w:nsid w:val="541C8153"/>
    <w:multiLevelType w:val="hybridMultilevel"/>
    <w:lvl w:ilvl="0">
      <w:lvlJc w:val="left"/>
      <w:lvlText w:val="(%1)"/>
      <w:numFmt w:val="lowerRoman"/>
      <w:start w:val="2"/>
    </w:lvl>
    <w:lvl w:ilvl="1">
      <w:lvlJc w:val="left"/>
      <w:lvlText w:val="(%2)"/>
      <w:numFmt w:val="lowerRoman"/>
      <w:start w:val="5"/>
    </w:lvl>
  </w:abstractNum>
  <w:abstractNum w:abstractNumId="176">
    <w:nsid w:val="67906F60"/>
    <w:multiLevelType w:val="hybridMultilevel"/>
    <w:lvl w:ilvl="0">
      <w:lvlJc w:val="left"/>
      <w:lvlText w:val="%1"/>
      <w:numFmt w:val="lowerLetter"/>
      <w:start w:val="1"/>
    </w:lvl>
    <w:lvl w:ilvl="1">
      <w:lvlJc w:val="left"/>
      <w:lvlText w:val="(%2)"/>
      <w:numFmt w:val="lowerRoman"/>
      <w:start w:val="7"/>
    </w:lvl>
  </w:abstractNum>
  <w:abstractNum w:abstractNumId="177">
    <w:nsid w:val="10DB9DAA"/>
    <w:multiLevelType w:val="hybridMultilevel"/>
    <w:lvl w:ilvl="0">
      <w:lvlJc w:val="left"/>
      <w:lvlText w:val="(%1)"/>
      <w:numFmt w:val="lowerLetter"/>
      <w:start w:val="19"/>
    </w:lvl>
    <w:lvl w:ilvl="1">
      <w:lvlJc w:val="left"/>
      <w:lvlText w:val="%2"/>
      <w:numFmt w:val="lowerRoman"/>
      <w:start w:val="1"/>
    </w:lvl>
  </w:abstractNum>
  <w:abstractNum w:abstractNumId="178">
    <w:nsid w:val="697D2D2"/>
    <w:multiLevelType w:val="hybridMultilevel"/>
    <w:lvl w:ilvl="0">
      <w:lvlJc w:val="left"/>
      <w:lvlText w:val="(%1)"/>
      <w:numFmt w:val="lowerLetter"/>
      <w:start w:val="21"/>
    </w:lvl>
  </w:abstractNum>
  <w:abstractNum w:abstractNumId="179">
    <w:nsid w:val="6D68AB2"/>
    <w:multiLevelType w:val="hybridMultilevel"/>
    <w:lvl w:ilvl="0">
      <w:lvlJc w:val="left"/>
      <w:lvlText w:val="%1"/>
      <w:numFmt w:val="decimal"/>
      <w:start w:val="1"/>
    </w:lvl>
    <w:lvl w:ilvl="1">
      <w:lvlJc w:val="left"/>
      <w:lvlText w:val="(%2)"/>
      <w:numFmt w:val="lowerLetter"/>
      <w:start w:val="25"/>
    </w:lvl>
  </w:abstractNum>
  <w:abstractNum w:abstractNumId="180">
    <w:nsid w:val="3A966CD0"/>
    <w:multiLevelType w:val="hybridMultilevel"/>
    <w:lvl w:ilvl="0">
      <w:lvlJc w:val="left"/>
      <w:lvlText w:val="%1."/>
      <w:numFmt w:val="decimal"/>
      <w:start w:val="5"/>
    </w:lvl>
    <w:lvl w:ilvl="1">
      <w:lvlJc w:val="left"/>
      <w:lvlText w:val="(%2)"/>
      <w:numFmt w:val="lowerLetter"/>
      <w:start w:val="1"/>
    </w:lvl>
  </w:abstractNum>
  <w:abstractNum w:abstractNumId="181">
    <w:nsid w:val="63F37E8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2">
    <w:nsid w:val="5895F5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3">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F3F09D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5">
    <w:nsid w:val="4B793735"/>
    <w:multiLevelType w:val="hybridMultilevel"/>
    <w:lvl w:ilvl="0">
      <w:lvlJc w:val="left"/>
      <w:lvlText w:val="(%1)"/>
      <w:numFmt w:val="lowerRoman"/>
      <w:start w:val="4"/>
    </w:lvl>
  </w:abstractNum>
  <w:abstractNum w:abstractNumId="186">
    <w:nsid w:val="4A10B4E8"/>
    <w:multiLevelType w:val="hybridMultilevel"/>
    <w:lvl w:ilvl="0">
      <w:lvlJc w:val="left"/>
      <w:lvlText w:val="(%1)"/>
      <w:numFmt w:val="lowerRoman"/>
      <w:start w:val="12"/>
    </w:lvl>
  </w:abstractNum>
  <w:abstractNum w:abstractNumId="187">
    <w:nsid w:val="43D3BCD4"/>
    <w:multiLevelType w:val="hybridMultilevel"/>
    <w:lvl w:ilvl="0">
      <w:lvlJc w:val="left"/>
      <w:lvlText w:val="%1"/>
      <w:numFmt w:val="lowerLetter"/>
      <w:start w:val="1"/>
    </w:lvl>
    <w:lvl w:ilvl="1">
      <w:lvlJc w:val="left"/>
      <w:lvlText w:val="(%2)"/>
      <w:numFmt w:val="lowerRoman"/>
      <w:start w:val="19"/>
    </w:lvl>
  </w:abstractNum>
  <w:abstractNum w:abstractNumId="188">
    <w:nsid w:val="4C2A7166"/>
    <w:multiLevelType w:val="hybridMultilevel"/>
    <w:lvl w:ilvl="0">
      <w:lvlJc w:val="left"/>
      <w:lvlText w:val="(%1)"/>
      <w:numFmt w:val="lowerLetter"/>
      <w:start w:val="2"/>
    </w:lvl>
    <w:lvl w:ilvl="1">
      <w:lvlJc w:val="left"/>
      <w:lvlText w:val="(%2)"/>
      <w:numFmt w:val="lowerRoman"/>
      <w:start w:val="1"/>
    </w:lvl>
  </w:abstractNum>
  <w:abstractNum w:abstractNumId="189">
    <w:nsid w:val="2E534A82"/>
    <w:multiLevelType w:val="hybridMultilevel"/>
    <w:lvl w:ilvl="0">
      <w:lvlJc w:val="left"/>
      <w:lvlText w:val="(%1)"/>
      <w:numFmt w:val="lowerRoman"/>
      <w:start w:val="5"/>
    </w:lvl>
  </w:abstractNum>
  <w:abstractNum w:abstractNumId="190">
    <w:nsid w:val="26F2D364"/>
    <w:multiLevelType w:val="hybridMultilevel"/>
    <w:lvl w:ilvl="0">
      <w:lvlJc w:val="left"/>
      <w:lvlText w:val="(%1)"/>
      <w:numFmt w:val="lowerRoman"/>
      <w:start w:val="14"/>
    </w:lvl>
  </w:abstractNum>
  <w:abstractNum w:abstractNumId="191">
    <w:nsid w:val="71C1AF98"/>
    <w:multiLevelType w:val="hybridMultilevel"/>
    <w:lvl w:ilvl="0">
      <w:lvlJc w:val="left"/>
      <w:lvlText w:val="%1"/>
      <w:numFmt w:val="decimal"/>
      <w:start w:val="1"/>
    </w:lvl>
    <w:lvl w:ilvl="1">
      <w:lvlJc w:val="left"/>
      <w:lvlText w:val="(%2)"/>
      <w:numFmt w:val="lowerRoman"/>
      <w:start w:val="20"/>
    </w:lvl>
  </w:abstractNum>
  <w:abstractNum w:abstractNumId="192">
    <w:nsid w:val="3D00B9D9"/>
    <w:multiLevelType w:val="hybridMultilevel"/>
    <w:lvl w:ilvl="0">
      <w:lvlJc w:val="left"/>
      <w:lvlText w:val="%1."/>
      <w:numFmt w:val="decimal"/>
      <w:start w:val="8"/>
    </w:lvl>
    <w:lvl w:ilvl="1">
      <w:lvlJc w:val="left"/>
      <w:lvlText w:val="%2"/>
      <w:numFmt w:val="lowerRoman"/>
      <w:start w:val="1"/>
    </w:lvl>
  </w:abstractNum>
  <w:abstractNum w:abstractNumId="193">
    <w:nsid w:val="15BCABA8"/>
    <w:multiLevelType w:val="hybridMultilevel"/>
    <w:lvl w:ilvl="0">
      <w:lvlJc w:val="left"/>
      <w:lvlText w:val="%1."/>
      <w:numFmt w:val="decimal"/>
      <w:start w:val="9"/>
    </w:lvl>
    <w:lvl w:ilvl="1">
      <w:lvlJc w:val="left"/>
      <w:lvlText w:val="(%2)"/>
      <w:numFmt w:val="lowerLetter"/>
      <w:start w:val="1"/>
    </w:lvl>
  </w:abstractNum>
  <w:abstractNum w:abstractNumId="194">
    <w:nsid w:val="4E0B9A87"/>
    <w:multiLevelType w:val="hybridMultilevel"/>
    <w:lvl w:ilvl="0">
      <w:lvlJc w:val="left"/>
      <w:lvlText w:val="(%1)"/>
      <w:numFmt w:val="lowerLetter"/>
      <w:start w:val="35"/>
    </w:lvl>
    <w:lvl w:ilvl="1">
      <w:lvlJc w:val="left"/>
      <w:lvlText w:val="(%2)"/>
      <w:numFmt w:val="lowerLetter"/>
      <w:start w:val="2"/>
    </w:lvl>
  </w:abstractNum>
  <w:abstractNum w:abstractNumId="195">
    <w:nsid w:val="434BAE75"/>
    <w:multiLevelType w:val="hybridMultilevel"/>
    <w:lvl w:ilvl="0">
      <w:lvlJc w:val="left"/>
      <w:lvlText w:val="(%1)"/>
      <w:numFmt w:val="lowerLetter"/>
      <w:start w:val="5"/>
    </w:lvl>
  </w:abstractNum>
  <w:abstractNum w:abstractNumId="196">
    <w:nsid w:val="4F38F265"/>
    <w:multiLevelType w:val="hybridMultilevel"/>
    <w:lvl w:ilvl="0">
      <w:lvlJc w:val="left"/>
      <w:lvlText w:val="(%1)"/>
      <w:numFmt w:val="lowerLetter"/>
      <w:start w:val="6"/>
    </w:lvl>
  </w:abstractNum>
  <w:abstractNum w:abstractNumId="197">
    <w:nsid w:val="4C502870"/>
    <w:multiLevelType w:val="hybridMultilevel"/>
    <w:lvl w:ilvl="0">
      <w:lvlJc w:val="left"/>
      <w:lvlText w:val="(%1)"/>
      <w:numFmt w:val="upperLetter"/>
      <w:start w:val="1"/>
    </w:lvl>
    <w:lvl w:ilvl="1">
      <w:lvlJc w:val="left"/>
      <w:lvlText w:val="(%2)"/>
      <w:numFmt w:val="lowerLetter"/>
      <w:start w:val="7"/>
    </w:lvl>
  </w:abstractNum>
  <w:abstractNum w:abstractNumId="198">
    <w:nsid w:val="1DE8725A"/>
    <w:multiLevelType w:val="hybridMultilevel"/>
    <w:lvl w:ilvl="0">
      <w:lvlJc w:val="left"/>
      <w:lvlText w:val="(%1)"/>
      <w:numFmt w:val="lowerLetter"/>
      <w:start w:val="8"/>
    </w:lvl>
    <w:lvl w:ilvl="1">
      <w:lvlJc w:val="left"/>
      <w:lvlText w:val="(%2)"/>
      <w:numFmt w:val="lowerLetter"/>
      <w:start w:val="9"/>
    </w:lvl>
  </w:abstractNum>
  <w:abstractNum w:abstractNumId="199">
    <w:nsid w:val="6A37288A"/>
    <w:multiLevelType w:val="hybridMultilevel"/>
    <w:lvl w:ilvl="0">
      <w:lvlJc w:val="left"/>
      <w:lvlText w:val="(%1)"/>
      <w:numFmt w:val="lowerRoman"/>
      <w:start w:val="2"/>
    </w:lvl>
  </w:abstractNum>
  <w:abstractNum w:abstractNumId="200">
    <w:nsid w:val="8F8B73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201">
    <w:nsid w:val="CA6B46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02">
    <w:nsid w:val="763CB680"/>
    <w:multiLevelType w:val="hybridMultilevel"/>
    <w:lvl w:ilvl="0">
      <w:lvlJc w:val="left"/>
      <w:lvlText w:val="(%1)"/>
      <w:numFmt w:val="lowerLetter"/>
      <w:start w:val="12"/>
    </w:lvl>
    <w:lvl w:ilvl="1">
      <w:lvlJc w:val="left"/>
      <w:lvlText w:val="%2"/>
      <w:numFmt w:val="upperLetter"/>
      <w:start w:val="1"/>
    </w:lvl>
    <w:lvl w:ilvl="2">
      <w:lvlJc w:val="left"/>
      <w:lvlText w:val="%3"/>
      <w:numFmt w:val="lowerRoman"/>
      <w:start w:val="1"/>
    </w:lvl>
  </w:abstractNum>
  <w:abstractNum w:abstractNumId="203">
    <w:nsid w:val="15B71329"/>
    <w:multiLevelType w:val="hybridMultilevel"/>
    <w:lvl w:ilvl="0">
      <w:lvlJc w:val="left"/>
      <w:lvlText w:val="(%1)"/>
      <w:numFmt w:val="lowerLetter"/>
      <w:start w:val="14"/>
    </w:lvl>
    <w:lvl w:ilvl="1">
      <w:lvlJc w:val="left"/>
      <w:lvlText w:val="(%2)"/>
      <w:numFmt w:val="lowerRoman"/>
      <w:start w:val="1"/>
    </w:lvl>
    <w:lvl w:ilvl="2">
      <w:lvlJc w:val="left"/>
      <w:lvlText w:val="(%3)"/>
      <w:numFmt w:val="decimal"/>
      <w:start w:val="1"/>
    </w:lvl>
  </w:abstractNum>
  <w:abstractNum w:abstractNumId="204">
    <w:nsid w:val="3DA97044"/>
    <w:multiLevelType w:val="hybridMultilevel"/>
    <w:lvl w:ilvl="0">
      <w:lvlJc w:val="left"/>
      <w:lvlText w:val="%1"/>
      <w:numFmt w:val="lowerLetter"/>
      <w:start w:val="1"/>
    </w:lvl>
    <w:lvl w:ilvl="1">
      <w:lvlJc w:val="left"/>
      <w:lvlText w:val="(%2)"/>
      <w:numFmt w:val="lowerRoman"/>
      <w:start w:val="2"/>
    </w:lvl>
  </w:abstractNum>
  <w:abstractNum w:abstractNumId="205">
    <w:nsid w:val="1CDCE2DE"/>
    <w:multiLevelType w:val="hybridMultilevel"/>
    <w:lvl w:ilvl="0">
      <w:lvlJc w:val="left"/>
      <w:lvlText w:val="(%1)"/>
      <w:numFmt w:val="lowerLetter"/>
      <w:start w:val="17"/>
    </w:lvl>
    <w:lvl w:ilvl="1">
      <w:lvlJc w:val="left"/>
      <w:lvlText w:val="%2"/>
      <w:numFmt w:val="lowerRoman"/>
      <w:start w:val="1"/>
    </w:lvl>
  </w:abstractNum>
  <w:abstractNum w:abstractNumId="206">
    <w:nsid w:val="69D3947C"/>
    <w:multiLevelType w:val="hybridMultilevel"/>
    <w:lvl w:ilvl="0">
      <w:lvlJc w:val="left"/>
      <w:lvlText w:val="%1."/>
      <w:numFmt w:val="decimal"/>
      <w:start w:val="1"/>
    </w:lvl>
  </w:abstractNum>
  <w:abstractNum w:abstractNumId="207">
    <w:nsid w:val="2539DFA5"/>
    <w:multiLevelType w:val="hybridMultilevel"/>
    <w:lvl w:ilvl="0">
      <w:lvlJc w:val="left"/>
      <w:lvlText w:val="(%1)"/>
      <w:numFmt w:val="lowerLetter"/>
      <w:start w:val="1"/>
    </w:lvl>
  </w:abstractNum>
  <w:abstractNum w:abstractNumId="208">
    <w:nsid w:val="2DB88089"/>
    <w:multiLevelType w:val="hybridMultilevel"/>
    <w:lvl w:ilvl="0">
      <w:lvlJc w:val="left"/>
      <w:lvlText w:val="%1."/>
      <w:numFmt w:val="decimal"/>
      <w:start w:val="5"/>
    </w:lvl>
  </w:abstractNum>
  <w:abstractNum w:abstractNumId="209">
    <w:nsid w:val="706B674E"/>
    <w:multiLevelType w:val="hybridMultilevel"/>
    <w:lvl w:ilvl="0">
      <w:lvlJc w:val="left"/>
      <w:lvlText w:val="(%1)"/>
      <w:numFmt w:val="lowerLetter"/>
      <w:start w:val="1"/>
    </w:lvl>
  </w:abstractNum>
  <w:abstractNum w:abstractNumId="210">
    <w:nsid w:val="2C106A57"/>
    <w:multiLevelType w:val="hybridMultilevel"/>
    <w:lvl w:ilvl="0">
      <w:lvlJc w:val="left"/>
      <w:lvlText w:val="%1."/>
      <w:numFmt w:val="decimal"/>
      <w:start w:val="1"/>
    </w:lvl>
  </w:abstractNum>
  <w:abstractNum w:abstractNumId="211">
    <w:nsid w:val="684EED59"/>
    <w:multiLevelType w:val="hybridMultilevel"/>
    <w:lvl w:ilvl="0">
      <w:lvlJc w:val="left"/>
      <w:lvlText w:val="(%1)"/>
      <w:numFmt w:val="lowerLetter"/>
      <w:start w:val="1"/>
    </w:lvl>
  </w:abstractNum>
  <w:abstractNum w:abstractNumId="212">
    <w:nsid w:val="545EE5D3"/>
    <w:multiLevelType w:val="hybridMultilevel"/>
    <w:lvl w:ilvl="0">
      <w:lvlJc w:val="left"/>
      <w:lvlText w:val="%1."/>
      <w:numFmt w:val="decimal"/>
      <w:start w:val="5"/>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decimal"/>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137" Type="http://schemas.openxmlformats.org/officeDocument/2006/relationships/hyperlink" Target="https://www.sec.gov/Archives/edgar/data/1861974/000110465923021492/tm236786d1_ex4-1.htm" TargetMode="External"/><Relationship Id="rId138" Type="http://schemas.openxmlformats.org/officeDocument/2006/relationships/hyperlink" Target="https://www.sec.gov/Archives/edgar/data/1861974/000110465922107707/tm2218315d9_ex4-4.htm" TargetMode="External"/><Relationship Id="rId139" Type="http://schemas.openxmlformats.org/officeDocument/2006/relationships/hyperlink" Target="https://www.sec.gov/Archives/edgar/data/1861974/000110465922114944/tm2218315d13_ex4-5.htm" TargetMode="External"/><Relationship Id="rId140" Type="http://schemas.openxmlformats.org/officeDocument/2006/relationships/hyperlink" Target="https://www.sec.gov/Archives/edgar/data/1861974/000110465922107707/tm2218315d9_ex4-6.htm" TargetMode="External"/><Relationship Id="rId141" Type="http://schemas.openxmlformats.org/officeDocument/2006/relationships/hyperlink" Target="https://www.sec.gov/Archives/edgar/data/1861974/000110465923048955/ecx-20221231xex2d4.htm" TargetMode="External"/><Relationship Id="rId142" Type="http://schemas.openxmlformats.org/officeDocument/2006/relationships/hyperlink" Target="https://www.sec.gov/Archives/edgar/data/1861974/000110465922107707/tm2218315d9_ex4-8.htm" TargetMode="External"/><Relationship Id="rId143" Type="http://schemas.openxmlformats.org/officeDocument/2006/relationships/hyperlink" Target="https://www.sec.gov/Archives/edgar/data/1861974/000110465923048955/ecx-20221231xex2d6.htm" TargetMode="External"/><Relationship Id="rId144" Type="http://schemas.openxmlformats.org/officeDocument/2006/relationships/hyperlink" Target="https://www.sec.gov/Archives/edgar/data/1861974/000110465923048955/ecx-20221231xex2d7.htm" TargetMode="External"/><Relationship Id="rId145" Type="http://schemas.openxmlformats.org/officeDocument/2006/relationships/hyperlink" Target="https://www.sec.gov/Archives/edgar/data/1861974/000110465925104470/tm2521297d6_ex4-1.htm" TargetMode="External"/><Relationship Id="rId146" Type="http://schemas.openxmlformats.org/officeDocument/2006/relationships/hyperlink" Target="https://www.sec.gov/Archives/edgar/data/1861974/000110465925104470/tm2521297d6_ex4-2.htm" TargetMode="External"/><Relationship Id="rId147" Type="http://schemas.openxmlformats.org/officeDocument/2006/relationships/hyperlink" Target="https://www.sec.gov/Archives/edgar/data/1861974/000110465922117717/tm2218315-15_f4a.htm#tANNA" TargetMode="External"/><Relationship Id="rId148" Type="http://schemas.openxmlformats.org/officeDocument/2006/relationships/hyperlink" Target="https://www.sec.gov/Archives/edgar/data/1861974/000110465922107707/tm2218315d9_ex10-1.htm" TargetMode="External"/><Relationship Id="rId151" Type="http://schemas.openxmlformats.org/officeDocument/2006/relationships/hyperlink" Target="https://www.sec.gov/Archives/edgar/data/1861974/000110465922107707/tm2218315d9_ex10-2.htm" TargetMode="External"/><Relationship Id="rId152" Type="http://schemas.openxmlformats.org/officeDocument/2006/relationships/hyperlink" Target="https://www.sec.gov/Archives/edgar/data/1861974/000110465922107707/tm2218315d9_ex10-3.htm" TargetMode="External"/><Relationship Id="rId153" Type="http://schemas.openxmlformats.org/officeDocument/2006/relationships/hyperlink" Target="https://www.sec.gov/Archives/edgar/data/1861974/000110465922107707/tm2218315d9_ex10-4.htm" TargetMode="External"/><Relationship Id="rId154" Type="http://schemas.openxmlformats.org/officeDocument/2006/relationships/hyperlink" Target="https://www.sec.gov/Archives/edgar/data/1861974/000110465922107707/tm2218315d9_ex10-5.htm" TargetMode="External"/><Relationship Id="rId155" Type="http://schemas.openxmlformats.org/officeDocument/2006/relationships/hyperlink" Target="https://www.sec.gov/Archives/edgar/data/1861974/000110465922107707/tm2218315d9_ex10-6.htm" TargetMode="External"/><Relationship Id="rId156" Type="http://schemas.openxmlformats.org/officeDocument/2006/relationships/hyperlink" Target="https://www.sec.gov/Archives/edgar/data/1861974/000110465922107707/tm2218315d9_ex10-7.htm" TargetMode="External"/><Relationship Id="rId157" Type="http://schemas.openxmlformats.org/officeDocument/2006/relationships/hyperlink" Target="https://www.sec.gov/Archives/edgar/data/1861974/000110465922107707/tm2218315d9_ex10-8.htm" TargetMode="External"/><Relationship Id="rId158" Type="http://schemas.openxmlformats.org/officeDocument/2006/relationships/hyperlink" Target="https://www.sec.gov/Archives/edgar/data/1861974/000110465922107707/tm2218315d9_ex10-9.htm" TargetMode="External"/><Relationship Id="rId159" Type="http://schemas.openxmlformats.org/officeDocument/2006/relationships/hyperlink" Target="https://www.sec.gov/Archives/edgar/data/1861974/000110465922107707/tm2218315d9_ex10-10.htm" TargetMode="External"/><Relationship Id="rId160" Type="http://schemas.openxmlformats.org/officeDocument/2006/relationships/hyperlink" Target="https://www.sec.gov/Archives/edgar/data/1861974/000110465922107707/tm2218315d9_ex10-11.htm" TargetMode="External"/><Relationship Id="rId161" Type="http://schemas.openxmlformats.org/officeDocument/2006/relationships/hyperlink" Target="https://www.sec.gov/Archives/edgar/data/1861974/000110465923021492/tm236786d1_ex10-2.htm" TargetMode="External"/><Relationship Id="rId162" Type="http://schemas.openxmlformats.org/officeDocument/2006/relationships/hyperlink" Target="https://www.sec.gov/Archives/edgar/data/1861974/000110465922107707/tm2218315d9_ex10-12.htm" TargetMode="External"/><Relationship Id="rId163" Type="http://schemas.openxmlformats.org/officeDocument/2006/relationships/hyperlink" Target="https://www.sec.gov/Archives/edgar/data/1861974/000110465922107707/tm2218315d9_ex10-13.htm" TargetMode="External"/><Relationship Id="rId164" Type="http://schemas.openxmlformats.org/officeDocument/2006/relationships/hyperlink" Target="https://www.sec.gov/Archives/edgar/data/1861974/000110465922107707/tm2218315d9_ex10-14.htm" TargetMode="External"/><Relationship Id="rId165" Type="http://schemas.openxmlformats.org/officeDocument/2006/relationships/hyperlink" Target="https://www.sec.gov/Archives/edgar/data/1861974/000110465922107707/tm2218315d9_ex10-15.htm" TargetMode="External"/><Relationship Id="rId168" Type="http://schemas.openxmlformats.org/officeDocument/2006/relationships/hyperlink" Target="https://www.sec.gov/Archives/edgar/data/1861974/000110465922107707/tm2218315d9_ex10-16.htm" TargetMode="External"/><Relationship Id="rId169" Type="http://schemas.openxmlformats.org/officeDocument/2006/relationships/hyperlink" Target="https://www.sec.gov/Archives/edgar/data/1861974/000110465922107707/tm2218315d9_ex10-17.htm" TargetMode="External"/><Relationship Id="rId170" Type="http://schemas.openxmlformats.org/officeDocument/2006/relationships/hyperlink" Target="https://www.sec.gov/Archives/edgar/data/1861974/000110465922107707/tm2218315d9_ex10-18.htm" TargetMode="External"/><Relationship Id="rId171" Type="http://schemas.openxmlformats.org/officeDocument/2006/relationships/hyperlink" Target="https://www.sec.gov/Archives/edgar/data/1861974/000110465922107707/tm2218315d9_ex10-19.htm" TargetMode="External"/><Relationship Id="rId172" Type="http://schemas.openxmlformats.org/officeDocument/2006/relationships/hyperlink" Target="https://www.sec.gov/Archives/edgar/data/1861974/000110465922107707/tm2218315d9_ex10-20.htm" TargetMode="External"/><Relationship Id="rId173" Type="http://schemas.openxmlformats.org/officeDocument/2006/relationships/hyperlink" Target="https://www.sec.gov/Archives/edgar/data/1861974/000110465922107707/tm2218315d9_ex10-21.htm" TargetMode="External"/><Relationship Id="rId174" Type="http://schemas.openxmlformats.org/officeDocument/2006/relationships/hyperlink" Target="https://www.sec.gov/Archives/edgar/data/1861974/000110465922114944/tm2218315d13_ex10-22.htm" TargetMode="External"/><Relationship Id="rId175" Type="http://schemas.openxmlformats.org/officeDocument/2006/relationships/hyperlink" Target="https://www.sec.gov/Archives/edgar/data/1861974/000110465922114944/tm2218315d13_ex10-23.htm" TargetMode="External"/><Relationship Id="rId176" Type="http://schemas.openxmlformats.org/officeDocument/2006/relationships/hyperlink" Target="https://www.sec.gov/Archives/edgar/data/1861974/000110465923048955/ecx-20221231xex4d26.htm" TargetMode="External"/><Relationship Id="rId177" Type="http://schemas.openxmlformats.org/officeDocument/2006/relationships/hyperlink" Target="https://www.sec.gov/Archives/edgar/data/1861974/000110465923105653/ecx-20230630xex10d26.htm" TargetMode="External"/><Relationship Id="rId178" Type="http://schemas.openxmlformats.org/officeDocument/2006/relationships/hyperlink" Target="https://www.sec.gov/Archives/edgar/data/1861974/000162828024014607/ecx-20231231xexx428.htm" TargetMode="External"/><Relationship Id="rId179" Type="http://schemas.openxmlformats.org/officeDocument/2006/relationships/hyperlink" Target="https://www.sec.gov/Archives/edgar/data/1861974/000162828024014607/ecx-20231231xex429.htm" TargetMode="External"/><Relationship Id="rId180" Type="http://schemas.openxmlformats.org/officeDocument/2006/relationships/hyperlink" Target="https://www.sec.gov/Archives/edgar/data/1861974/000162828024014607/ecx-20231231xexx430.htm" TargetMode="External"/><Relationship Id="rId181" Type="http://schemas.openxmlformats.org/officeDocument/2006/relationships/hyperlink" Target="https://www.sec.gov/Archives/edgar/data/1861974/000162828024014607/ecx-20231231xexx431.htm" TargetMode="External"/><Relationship Id="rId182" Type="http://schemas.openxmlformats.org/officeDocument/2006/relationships/hyperlink" Target="https://www.sec.gov/Archives/edgar/data/1861974/000162828024048273/translationofcomponentspro.htm" TargetMode="External"/><Relationship Id="rId185" Type="http://schemas.openxmlformats.org/officeDocument/2006/relationships/hyperlink" Target="https://www.sec.gov/Archives/edgar/data/1861974/000162828025055208/dreamsmart-convertiblenote.htm" TargetMode="External"/><Relationship Id="rId186" Type="http://schemas.openxmlformats.org/officeDocument/2006/relationships/hyperlink" Target="https://www.sec.gov/Archives/edgar/data/1861974/000162828025047921/ecx-convertiblenotepurchas.htm" TargetMode="External"/><Relationship Id="rId187" Type="http://schemas.openxmlformats.org/officeDocument/2006/relationships/hyperlink" Target="https://www.sec.gov/Archives/edgar/data/1861974/000162828026001760/ecx-subscriptionagreementg.htm" TargetMode="External"/><Relationship Id="rId188" Type="http://schemas.openxmlformats.org/officeDocument/2006/relationships/hyperlink" Target="https://www.sec.gov/Archives/edgar/data/1861974/000162828025058845/lotus-subscriptionagreemen.htm" TargetMode="External"/><Relationship Id="rId189" Type="http://schemas.openxmlformats.org/officeDocument/2006/relationships/hyperlink" Target="https://www.sec.gov/Archives/edgar/data/1861974/000110465923048955/ecx-20221231xex11d1.htm" TargetMode="External"/><Relationship Id="rId190" Type="http://schemas.openxmlformats.org/officeDocument/2006/relationships/hyperlink" Target="https://www.sec.gov/Archives/edgar/data/1861974/000186197425000004/ecx-20241231xexx112.htm" TargetMode="External"/><Relationship Id="rId191" Type="http://schemas.openxmlformats.org/officeDocument/2006/relationships/hyperlink" Target="https://www.sec.gov/Archives/edgar/data/1861974/000186197425000004/ecx-20241231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2026-03-30T06:30:08Z</dcterms:created>
  <dcterms:modified xsi:type="dcterms:W3CDTF">2026-03-30T06:30:08Z</dcterms:modified>
</cp:coreProperties>
</file>